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CF" w:rsidRPr="007733CF" w:rsidRDefault="007733CF" w:rsidP="007733CF">
      <w:pPr>
        <w:autoSpaceDE w:val="0"/>
        <w:autoSpaceDN w:val="0"/>
        <w:adjustRightInd w:val="0"/>
        <w:spacing w:after="0" w:line="240" w:lineRule="auto"/>
        <w:jc w:val="center"/>
        <w:rPr>
          <w:rFonts w:ascii="Arial" w:hAnsi="Arial" w:cs="Arial"/>
          <w:b/>
          <w:sz w:val="24"/>
          <w:szCs w:val="24"/>
        </w:rPr>
      </w:pPr>
      <w:proofErr w:type="gramStart"/>
      <w:r w:rsidRPr="007733CF">
        <w:rPr>
          <w:rFonts w:ascii="Arial" w:hAnsi="Arial" w:cs="Arial"/>
          <w:b/>
          <w:sz w:val="24"/>
          <w:szCs w:val="24"/>
        </w:rPr>
        <w:t>ORDIN  Nr</w:t>
      </w:r>
      <w:proofErr w:type="gramEnd"/>
      <w:r w:rsidRPr="007733CF">
        <w:rPr>
          <w:rFonts w:ascii="Arial" w:hAnsi="Arial" w:cs="Arial"/>
          <w:b/>
          <w:sz w:val="24"/>
          <w:szCs w:val="24"/>
        </w:rPr>
        <w:t>. 1127/669/2019 din 18 iulie 2019</w:t>
      </w:r>
    </w:p>
    <w:p w:rsidR="007733CF" w:rsidRPr="007733CF" w:rsidRDefault="007733CF" w:rsidP="007733CF">
      <w:pPr>
        <w:autoSpaceDE w:val="0"/>
        <w:autoSpaceDN w:val="0"/>
        <w:adjustRightInd w:val="0"/>
        <w:spacing w:after="0" w:line="240" w:lineRule="auto"/>
        <w:jc w:val="center"/>
        <w:rPr>
          <w:rFonts w:ascii="Arial" w:hAnsi="Arial" w:cs="Arial"/>
          <w:b/>
          <w:sz w:val="24"/>
          <w:szCs w:val="24"/>
        </w:rPr>
      </w:pPr>
      <w:proofErr w:type="gramStart"/>
      <w:r w:rsidRPr="007733CF">
        <w:rPr>
          <w:rFonts w:ascii="Arial" w:hAnsi="Arial" w:cs="Arial"/>
          <w:b/>
          <w:sz w:val="24"/>
          <w:szCs w:val="24"/>
        </w:rPr>
        <w:t>privind</w:t>
      </w:r>
      <w:proofErr w:type="gramEnd"/>
      <w:r w:rsidRPr="007733CF">
        <w:rPr>
          <w:rFonts w:ascii="Arial" w:hAnsi="Arial" w:cs="Arial"/>
          <w:b/>
          <w:sz w:val="24"/>
          <w:szCs w:val="24"/>
        </w:rPr>
        <w:t xml:space="preserve"> modificarea şi completarea anexei nr. </w:t>
      </w:r>
      <w:proofErr w:type="gramStart"/>
      <w:r w:rsidRPr="007733CF">
        <w:rPr>
          <w:rFonts w:ascii="Arial" w:hAnsi="Arial" w:cs="Arial"/>
          <w:b/>
          <w:sz w:val="24"/>
          <w:szCs w:val="24"/>
        </w:rPr>
        <w:t>1 la Ordinul ministrului sănătăţii publice şi al preşedintelui Casei Naţionale de Asigurări de Sănătate nr.</w:t>
      </w:r>
      <w:proofErr w:type="gramEnd"/>
      <w:r w:rsidRPr="007733CF">
        <w:rPr>
          <w:rFonts w:ascii="Arial" w:hAnsi="Arial" w:cs="Arial"/>
          <w:b/>
          <w:sz w:val="24"/>
          <w:szCs w:val="24"/>
        </w:rPr>
        <w:t xml:space="preserve">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EMITENT:     MINISTERUL SĂNĂTĂŢII - Nr. 1.127</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CASA NAŢIONALĂ DE ASIGURĂRI DE SĂNĂTATE - Nr. 669</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PUBLICAT ÎN: MONITORUL </w:t>
      </w:r>
      <w:proofErr w:type="gramStart"/>
      <w:r w:rsidRPr="007733CF">
        <w:rPr>
          <w:rFonts w:ascii="Arial" w:hAnsi="Arial" w:cs="Arial"/>
          <w:sz w:val="24"/>
          <w:szCs w:val="24"/>
        </w:rPr>
        <w:t>OFICIAL  NR</w:t>
      </w:r>
      <w:proofErr w:type="gramEnd"/>
      <w:r w:rsidRPr="007733CF">
        <w:rPr>
          <w:rFonts w:ascii="Arial" w:hAnsi="Arial" w:cs="Arial"/>
          <w:sz w:val="24"/>
          <w:szCs w:val="24"/>
        </w:rPr>
        <w:t>. 610 din 24 iulie 2019</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Văzând Referatul de aprobare nr.</w:t>
      </w:r>
      <w:proofErr w:type="gramEnd"/>
      <w:r w:rsidRPr="007733CF">
        <w:rPr>
          <w:rFonts w:ascii="Arial" w:hAnsi="Arial" w:cs="Arial"/>
          <w:sz w:val="24"/>
          <w:szCs w:val="24"/>
        </w:rPr>
        <w:t xml:space="preserve"> S.P. 9.267 din 18.07.2019 al Direcţiei generale de asistenţă medicală şi sănătate publică din cadrul Ministerul Sănătăţii şi nr. D.G. 1.182 din 18.07.2019 al Casei Naţionale de Asigurări de Sănătate,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având</w:t>
      </w:r>
      <w:proofErr w:type="gramEnd"/>
      <w:r w:rsidRPr="007733CF">
        <w:rPr>
          <w:rFonts w:ascii="Arial" w:hAnsi="Arial" w:cs="Arial"/>
          <w:sz w:val="24"/>
          <w:szCs w:val="24"/>
        </w:rPr>
        <w:t xml:space="preserve"> în vedere dispoziţiile art. </w:t>
      </w:r>
      <w:proofErr w:type="gramStart"/>
      <w:r w:rsidRPr="007733CF">
        <w:rPr>
          <w:rFonts w:ascii="Arial" w:hAnsi="Arial" w:cs="Arial"/>
          <w:sz w:val="24"/>
          <w:szCs w:val="24"/>
        </w:rPr>
        <w:t>291 alin.</w:t>
      </w:r>
      <w:proofErr w:type="gramEnd"/>
      <w:r w:rsidRPr="007733CF">
        <w:rPr>
          <w:rFonts w:ascii="Arial" w:hAnsi="Arial" w:cs="Arial"/>
          <w:sz w:val="24"/>
          <w:szCs w:val="24"/>
        </w:rPr>
        <w:t xml:space="preserve"> (2) </w:t>
      </w:r>
      <w:proofErr w:type="gramStart"/>
      <w:r w:rsidRPr="007733CF">
        <w:rPr>
          <w:rFonts w:ascii="Arial" w:hAnsi="Arial" w:cs="Arial"/>
          <w:sz w:val="24"/>
          <w:szCs w:val="24"/>
        </w:rPr>
        <w:t>din</w:t>
      </w:r>
      <w:proofErr w:type="gramEnd"/>
      <w:r w:rsidRPr="007733CF">
        <w:rPr>
          <w:rFonts w:ascii="Arial" w:hAnsi="Arial" w:cs="Arial"/>
          <w:sz w:val="24"/>
          <w:szCs w:val="24"/>
        </w:rPr>
        <w:t xml:space="preserve"> Legea nr. 95/2006 privind reforma în domeniul sănătăţii, republicată, cu modificările şi completările ulterioare,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ţinând</w:t>
      </w:r>
      <w:proofErr w:type="gramEnd"/>
      <w:r w:rsidRPr="007733CF">
        <w:rPr>
          <w:rFonts w:ascii="Arial" w:hAnsi="Arial" w:cs="Arial"/>
          <w:sz w:val="24"/>
          <w:szCs w:val="24"/>
        </w:rPr>
        <w:t xml:space="preserve">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şi ale art. </w:t>
      </w:r>
      <w:proofErr w:type="gramStart"/>
      <w:r w:rsidRPr="007733CF">
        <w:rPr>
          <w:rFonts w:ascii="Arial" w:hAnsi="Arial" w:cs="Arial"/>
          <w:sz w:val="24"/>
          <w:szCs w:val="24"/>
        </w:rPr>
        <w:t>4 alin.</w:t>
      </w:r>
      <w:proofErr w:type="gramEnd"/>
      <w:r w:rsidRPr="007733CF">
        <w:rPr>
          <w:rFonts w:ascii="Arial" w:hAnsi="Arial" w:cs="Arial"/>
          <w:sz w:val="24"/>
          <w:szCs w:val="24"/>
        </w:rPr>
        <w:t xml:space="preserve"> (3^1) lit. l) </w:t>
      </w:r>
      <w:proofErr w:type="gramStart"/>
      <w:r w:rsidRPr="007733CF">
        <w:rPr>
          <w:rFonts w:ascii="Arial" w:hAnsi="Arial" w:cs="Arial"/>
          <w:sz w:val="24"/>
          <w:szCs w:val="24"/>
        </w:rPr>
        <w:t>şi</w:t>
      </w:r>
      <w:proofErr w:type="gramEnd"/>
      <w:r w:rsidRPr="007733CF">
        <w:rPr>
          <w:rFonts w:ascii="Arial" w:hAnsi="Arial" w:cs="Arial"/>
          <w:sz w:val="24"/>
          <w:szCs w:val="24"/>
        </w:rPr>
        <w:t xml:space="preserve"> m) din Hotărârea Guvernului nr. 734/2010 privind organizarea şi funcţionarea Agenţiei Naţionale a Medicamentului şi a Dispozitivelor Medicale, cu modificările şi completările ulterioare,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în</w:t>
      </w:r>
      <w:proofErr w:type="gramEnd"/>
      <w:r w:rsidRPr="007733CF">
        <w:rPr>
          <w:rFonts w:ascii="Arial" w:hAnsi="Arial" w:cs="Arial"/>
          <w:sz w:val="24"/>
          <w:szCs w:val="24"/>
        </w:rPr>
        <w:t xml:space="preserve"> temeiul art. </w:t>
      </w:r>
      <w:proofErr w:type="gramStart"/>
      <w:r w:rsidRPr="007733CF">
        <w:rPr>
          <w:rFonts w:ascii="Arial" w:hAnsi="Arial" w:cs="Arial"/>
          <w:sz w:val="24"/>
          <w:szCs w:val="24"/>
        </w:rPr>
        <w:t>7 alin.</w:t>
      </w:r>
      <w:proofErr w:type="gramEnd"/>
      <w:r w:rsidRPr="007733CF">
        <w:rPr>
          <w:rFonts w:ascii="Arial" w:hAnsi="Arial" w:cs="Arial"/>
          <w:sz w:val="24"/>
          <w:szCs w:val="24"/>
        </w:rPr>
        <w:t xml:space="preserve"> (4) </w:t>
      </w:r>
      <w:proofErr w:type="gramStart"/>
      <w:r w:rsidRPr="007733CF">
        <w:rPr>
          <w:rFonts w:ascii="Arial" w:hAnsi="Arial" w:cs="Arial"/>
          <w:sz w:val="24"/>
          <w:szCs w:val="24"/>
        </w:rPr>
        <w:t>din</w:t>
      </w:r>
      <w:proofErr w:type="gramEnd"/>
      <w:r w:rsidRPr="007733CF">
        <w:rPr>
          <w:rFonts w:ascii="Arial" w:hAnsi="Arial" w:cs="Arial"/>
          <w:sz w:val="24"/>
          <w:szCs w:val="24"/>
        </w:rPr>
        <w:t xml:space="preserve"> Hotărârea Guvernului nr. </w:t>
      </w:r>
      <w:proofErr w:type="gramStart"/>
      <w:r w:rsidRPr="007733CF">
        <w:rPr>
          <w:rFonts w:ascii="Arial" w:hAnsi="Arial" w:cs="Arial"/>
          <w:sz w:val="24"/>
          <w:szCs w:val="24"/>
        </w:rPr>
        <w:t>144/2010 privind organizarea şi funcţionarea Ministerului Sănătăţii, cu modificările şi completările ulterioare, şi al art.</w:t>
      </w:r>
      <w:proofErr w:type="gramEnd"/>
      <w:r w:rsidRPr="007733CF">
        <w:rPr>
          <w:rFonts w:ascii="Arial" w:hAnsi="Arial" w:cs="Arial"/>
          <w:sz w:val="24"/>
          <w:szCs w:val="24"/>
        </w:rPr>
        <w:t xml:space="preserve"> </w:t>
      </w:r>
      <w:proofErr w:type="gramStart"/>
      <w:r w:rsidRPr="007733CF">
        <w:rPr>
          <w:rFonts w:ascii="Arial" w:hAnsi="Arial" w:cs="Arial"/>
          <w:sz w:val="24"/>
          <w:szCs w:val="24"/>
        </w:rPr>
        <w:t>17 alin.</w:t>
      </w:r>
      <w:proofErr w:type="gramEnd"/>
      <w:r w:rsidRPr="007733CF">
        <w:rPr>
          <w:rFonts w:ascii="Arial" w:hAnsi="Arial" w:cs="Arial"/>
          <w:sz w:val="24"/>
          <w:szCs w:val="24"/>
        </w:rPr>
        <w:t xml:space="preserve"> (5) </w:t>
      </w:r>
      <w:proofErr w:type="gramStart"/>
      <w:r w:rsidRPr="007733CF">
        <w:rPr>
          <w:rFonts w:ascii="Arial" w:hAnsi="Arial" w:cs="Arial"/>
          <w:sz w:val="24"/>
          <w:szCs w:val="24"/>
        </w:rPr>
        <w:t>din</w:t>
      </w:r>
      <w:proofErr w:type="gramEnd"/>
      <w:r w:rsidRPr="007733CF">
        <w:rPr>
          <w:rFonts w:ascii="Arial" w:hAnsi="Arial" w:cs="Arial"/>
          <w:sz w:val="24"/>
          <w:szCs w:val="24"/>
        </w:rPr>
        <w:t xml:space="preserve"> Statutul Casei Naţionale de Asigurări de Sănătate, aprobat prin Hotărârea Guvernului nr. 972/2006, cu modificările şi completările ulterioare,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b/>
          <w:bCs/>
          <w:sz w:val="24"/>
          <w:szCs w:val="24"/>
        </w:rPr>
        <w:t>ministrul</w:t>
      </w:r>
      <w:proofErr w:type="gramEnd"/>
      <w:r w:rsidRPr="007733CF">
        <w:rPr>
          <w:rFonts w:ascii="Arial" w:hAnsi="Arial" w:cs="Arial"/>
          <w:b/>
          <w:bCs/>
          <w:sz w:val="24"/>
          <w:szCs w:val="24"/>
        </w:rPr>
        <w:t xml:space="preserve"> sănătăţii</w:t>
      </w:r>
      <w:r w:rsidRPr="007733CF">
        <w:rPr>
          <w:rFonts w:ascii="Arial" w:hAnsi="Arial" w:cs="Arial"/>
          <w:sz w:val="24"/>
          <w:szCs w:val="24"/>
        </w:rPr>
        <w:t xml:space="preserve"> şi </w:t>
      </w:r>
      <w:r w:rsidRPr="007733CF">
        <w:rPr>
          <w:rFonts w:ascii="Arial" w:hAnsi="Arial" w:cs="Arial"/>
          <w:b/>
          <w:bCs/>
          <w:sz w:val="24"/>
          <w:szCs w:val="24"/>
        </w:rPr>
        <w:t>preşedintele Casei Naţionale de Asigurări de Sănătate</w:t>
      </w:r>
      <w:r w:rsidRPr="007733CF">
        <w:rPr>
          <w:rFonts w:ascii="Arial" w:hAnsi="Arial" w:cs="Arial"/>
          <w:sz w:val="24"/>
          <w:szCs w:val="24"/>
        </w:rPr>
        <w:t xml:space="preserve"> emit următorul ordin: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ART. 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Anexa nr.</w:t>
      </w:r>
      <w:proofErr w:type="gramEnd"/>
      <w:r w:rsidRPr="007733CF">
        <w:rPr>
          <w:rFonts w:ascii="Arial" w:hAnsi="Arial" w:cs="Arial"/>
          <w:sz w:val="24"/>
          <w:szCs w:val="24"/>
        </w:rPr>
        <w:t xml:space="preserve"> </w:t>
      </w:r>
      <w:proofErr w:type="gramStart"/>
      <w:r w:rsidRPr="007733CF">
        <w:rPr>
          <w:rFonts w:ascii="Arial" w:hAnsi="Arial" w:cs="Arial"/>
          <w:sz w:val="24"/>
          <w:szCs w:val="24"/>
        </w:rPr>
        <w:t>1 la Ordinul ministrului sănătăţii publice şi al preşedintelui Casei Naţionale de Asigurări de Sănătate nr.</w:t>
      </w:r>
      <w:proofErr w:type="gramEnd"/>
      <w:r w:rsidRPr="007733CF">
        <w:rPr>
          <w:rFonts w:ascii="Arial" w:hAnsi="Arial" w:cs="Arial"/>
          <w:sz w:val="24"/>
          <w:szCs w:val="24"/>
        </w:rPr>
        <w:t xml:space="preserve">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w:t>
      </w:r>
      <w:proofErr w:type="gramStart"/>
      <w:r w:rsidRPr="007733CF">
        <w:rPr>
          <w:rFonts w:ascii="Arial" w:hAnsi="Arial" w:cs="Arial"/>
          <w:sz w:val="24"/>
          <w:szCs w:val="24"/>
        </w:rPr>
        <w:t>720/2008, publicat în Monitorul Oficial al României, Partea I, nr.</w:t>
      </w:r>
      <w:proofErr w:type="gramEnd"/>
      <w:r w:rsidRPr="007733CF">
        <w:rPr>
          <w:rFonts w:ascii="Arial" w:hAnsi="Arial" w:cs="Arial"/>
          <w:sz w:val="24"/>
          <w:szCs w:val="24"/>
        </w:rPr>
        <w:t xml:space="preserve"> 531 şi 531 bis din 15 iulie 2008, cu modificările şi completările ulterioare, se modifică şi se completează conform anexei care face parte integrantă din prezentul ordin.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ART. 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Prezentul ordin se publică în Monitorul Oficial al României, Partea I.</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 Ministrul sănătăţii,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Tiberius-Marius Brădăţan,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secretar</w:t>
      </w:r>
      <w:proofErr w:type="gramEnd"/>
      <w:r w:rsidRPr="007733CF">
        <w:rPr>
          <w:rFonts w:ascii="Arial" w:hAnsi="Arial" w:cs="Arial"/>
          <w:sz w:val="24"/>
          <w:szCs w:val="24"/>
        </w:rPr>
        <w:t xml:space="preserve"> de stat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p</w:t>
      </w:r>
      <w:proofErr w:type="gramEnd"/>
      <w:r w:rsidRPr="007733CF">
        <w:rPr>
          <w:rFonts w:ascii="Arial" w:hAnsi="Arial" w:cs="Arial"/>
          <w:sz w:val="24"/>
          <w:szCs w:val="24"/>
        </w:rPr>
        <w:t>. Preşedintele Casei Naţionale de Asigurări de Sănătate,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Răzvan Teohari Vulcănescu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7733CF" w:rsidRDefault="007733CF">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ANEXĂ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451C4D">
      <w:pPr>
        <w:autoSpaceDE w:val="0"/>
        <w:autoSpaceDN w:val="0"/>
        <w:adjustRightInd w:val="0"/>
        <w:spacing w:after="0" w:line="240" w:lineRule="auto"/>
        <w:jc w:val="center"/>
        <w:rPr>
          <w:rFonts w:ascii="Arial" w:hAnsi="Arial" w:cs="Arial"/>
          <w:b/>
          <w:bCs/>
          <w:sz w:val="24"/>
          <w:szCs w:val="24"/>
        </w:rPr>
      </w:pPr>
      <w:r w:rsidRPr="007733CF">
        <w:rPr>
          <w:rFonts w:ascii="Arial" w:hAnsi="Arial" w:cs="Arial"/>
          <w:b/>
          <w:bCs/>
          <w:sz w:val="24"/>
          <w:szCs w:val="24"/>
        </w:rPr>
        <w:t>MODIFICĂRI ŞI COMPLETĂRI</w:t>
      </w:r>
    </w:p>
    <w:p w:rsidR="007733CF" w:rsidRPr="007733CF" w:rsidRDefault="007733CF" w:rsidP="00451C4D">
      <w:pPr>
        <w:autoSpaceDE w:val="0"/>
        <w:autoSpaceDN w:val="0"/>
        <w:adjustRightInd w:val="0"/>
        <w:spacing w:after="0" w:line="240" w:lineRule="auto"/>
        <w:jc w:val="center"/>
        <w:rPr>
          <w:rFonts w:ascii="Arial" w:hAnsi="Arial" w:cs="Arial"/>
          <w:sz w:val="24"/>
          <w:szCs w:val="24"/>
        </w:rPr>
      </w:pPr>
      <w:proofErr w:type="gramStart"/>
      <w:r w:rsidRPr="007733CF">
        <w:rPr>
          <w:rFonts w:ascii="Arial" w:hAnsi="Arial" w:cs="Arial"/>
          <w:b/>
          <w:bCs/>
          <w:sz w:val="24"/>
          <w:szCs w:val="24"/>
        </w:rPr>
        <w:t>la</w:t>
      </w:r>
      <w:proofErr w:type="gramEnd"/>
      <w:r w:rsidRPr="007733CF">
        <w:rPr>
          <w:rFonts w:ascii="Arial" w:hAnsi="Arial" w:cs="Arial"/>
          <w:b/>
          <w:bCs/>
          <w:sz w:val="24"/>
          <w:szCs w:val="24"/>
        </w:rPr>
        <w:t xml:space="preserve"> anexa nr. </w:t>
      </w:r>
      <w:proofErr w:type="gramStart"/>
      <w:r w:rsidRPr="007733CF">
        <w:rPr>
          <w:rFonts w:ascii="Arial" w:hAnsi="Arial" w:cs="Arial"/>
          <w:b/>
          <w:bCs/>
          <w:sz w:val="24"/>
          <w:szCs w:val="24"/>
        </w:rPr>
        <w:t>1 la Ordinul ministrului sănătăţii publice şi al preşedintelui Casei Naţionale de Asigurări de Sănătate nr.</w:t>
      </w:r>
      <w:proofErr w:type="gramEnd"/>
      <w:r w:rsidRPr="007733CF">
        <w:rPr>
          <w:rFonts w:ascii="Arial" w:hAnsi="Arial" w:cs="Arial"/>
          <w:b/>
          <w:bCs/>
          <w:sz w:val="24"/>
          <w:szCs w:val="24"/>
        </w:rPr>
        <w:t xml:space="preserve"> 1.301/500/2008</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 xml:space="preserve">1. După poziţia 268 se introduce o nouă poziţie, poziţia 269, </w:t>
      </w:r>
      <w:proofErr w:type="gramStart"/>
      <w:r w:rsidRPr="007733CF">
        <w:rPr>
          <w:rFonts w:ascii="Arial" w:hAnsi="Arial" w:cs="Arial"/>
          <w:b/>
          <w:bCs/>
          <w:sz w:val="24"/>
          <w:szCs w:val="24"/>
        </w:rPr>
        <w:t>cu</w:t>
      </w:r>
      <w:proofErr w:type="gramEnd"/>
      <w:r w:rsidRPr="007733CF">
        <w:rPr>
          <w:rFonts w:ascii="Arial" w:hAnsi="Arial" w:cs="Arial"/>
          <w:b/>
          <w:bCs/>
          <w:sz w:val="24"/>
          <w:szCs w:val="24"/>
        </w:rPr>
        <w:t xml:space="preserve"> următorul cuprins: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NR.</w:t>
      </w:r>
      <w:proofErr w:type="gramEnd"/>
      <w:r w:rsidRPr="007733CF">
        <w:rPr>
          <w:rFonts w:ascii="Arial" w:hAnsi="Arial" w:cs="Arial"/>
          <w:sz w:val="24"/>
          <w:szCs w:val="24"/>
        </w:rPr>
        <w:t xml:space="preserve"> </w:t>
      </w:r>
      <w:proofErr w:type="gramStart"/>
      <w:r w:rsidRPr="007733CF">
        <w:rPr>
          <w:rFonts w:ascii="Arial" w:hAnsi="Arial" w:cs="Arial"/>
          <w:sz w:val="24"/>
          <w:szCs w:val="24"/>
        </w:rPr>
        <w:t>ANEXĂ  COD</w:t>
      </w:r>
      <w:proofErr w:type="gramEnd"/>
      <w:r w:rsidRPr="007733CF">
        <w:rPr>
          <w:rFonts w:ascii="Arial" w:hAnsi="Arial" w:cs="Arial"/>
          <w:sz w:val="24"/>
          <w:szCs w:val="24"/>
        </w:rPr>
        <w:t xml:space="preserve">       TIP    DENUMIRE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w:t>
      </w:r>
      <w:proofErr w:type="gramStart"/>
      <w:r w:rsidRPr="007733CF">
        <w:rPr>
          <w:rFonts w:ascii="Arial" w:hAnsi="Arial" w:cs="Arial"/>
          <w:sz w:val="24"/>
          <w:szCs w:val="24"/>
        </w:rPr>
        <w:t>.  269</w:t>
      </w:r>
      <w:proofErr w:type="gramEnd"/>
      <w:r w:rsidRPr="007733CF">
        <w:rPr>
          <w:rFonts w:ascii="Arial" w:hAnsi="Arial" w:cs="Arial"/>
          <w:sz w:val="24"/>
          <w:szCs w:val="24"/>
        </w:rPr>
        <w:t xml:space="preserve">   A16AB09   DCI  IDURSULFASUM"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 xml:space="preserve">2. Protocolul terapeutic corespunzător poziţiei nr. 177 cod (L01XE10): DCI EVEROLIMUS se modifică şi </w:t>
      </w:r>
      <w:proofErr w:type="gramStart"/>
      <w:r w:rsidRPr="007733CF">
        <w:rPr>
          <w:rFonts w:ascii="Arial" w:hAnsi="Arial" w:cs="Arial"/>
          <w:b/>
          <w:bCs/>
          <w:sz w:val="24"/>
          <w:szCs w:val="24"/>
        </w:rPr>
        <w:t>va</w:t>
      </w:r>
      <w:proofErr w:type="gramEnd"/>
      <w:r w:rsidRPr="007733CF">
        <w:rPr>
          <w:rFonts w:ascii="Arial" w:hAnsi="Arial" w:cs="Arial"/>
          <w:b/>
          <w:bCs/>
          <w:sz w:val="24"/>
          <w:szCs w:val="24"/>
        </w:rPr>
        <w:t xml:space="preserve"> avea următorul cuprins: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DCI: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SECŢIUNEA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Astrocitom subependimal cu celule gigante (ASCG) asociat complexului sclerozei tuberoase (TSC)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Metodologia de includere în tratament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w:t>
      </w:r>
      <w:proofErr w:type="gramEnd"/>
      <w:r w:rsidRPr="007733CF">
        <w:rPr>
          <w:rFonts w:ascii="Arial" w:hAnsi="Arial" w:cs="Arial"/>
          <w:sz w:val="24"/>
          <w:szCs w:val="24"/>
        </w:rPr>
        <w:t xml:space="preserve"> cu astrocitom subependimal cu celule gigante (ASCG) asociat complexului sclerozei tuberoase (CST), care nu necesită intervenţie neurochirurgicală de urgenţă sau care nu poate fi operat;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prezenţa</w:t>
      </w:r>
      <w:proofErr w:type="gramEnd"/>
      <w:r w:rsidRPr="007733CF">
        <w:rPr>
          <w:rFonts w:ascii="Arial" w:hAnsi="Arial" w:cs="Arial"/>
          <w:sz w:val="24"/>
          <w:szCs w:val="24"/>
        </w:rPr>
        <w:t xml:space="preserve"> a cel puţin o leziune de tip astrocitom subependimal cu celule gigant (ASCG) cu diametrul maxim mai mare de 0,5 cm documentată prin examen imagistic (IRM sau CT);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creşterea</w:t>
      </w:r>
      <w:proofErr w:type="gramEnd"/>
      <w:r w:rsidRPr="007733CF">
        <w:rPr>
          <w:rFonts w:ascii="Arial" w:hAnsi="Arial" w:cs="Arial"/>
          <w:sz w:val="24"/>
          <w:szCs w:val="24"/>
        </w:rPr>
        <w:t xml:space="preserve"> ASCG argumentată prin imagini radiologice seriale;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vârsta</w:t>
      </w:r>
      <w:proofErr w:type="gramEnd"/>
      <w:r w:rsidRPr="007733CF">
        <w:rPr>
          <w:rFonts w:ascii="Arial" w:hAnsi="Arial" w:cs="Arial"/>
          <w:sz w:val="24"/>
          <w:szCs w:val="24"/>
        </w:rPr>
        <w:t xml:space="preserve"> &gt;= 1 an.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Metodologia de excludere din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pacienţii</w:t>
      </w:r>
      <w:proofErr w:type="gramEnd"/>
      <w:r w:rsidRPr="007733CF">
        <w:rPr>
          <w:rFonts w:ascii="Arial" w:hAnsi="Arial" w:cs="Arial"/>
          <w:sz w:val="24"/>
          <w:szCs w:val="24"/>
        </w:rPr>
        <w:t xml:space="preserve"> cu simptomatologie acută datorată ASCG unde intervenţia chirurgicală este indicată;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hipersensibilitate</w:t>
      </w:r>
      <w:proofErr w:type="gramEnd"/>
      <w:r w:rsidRPr="007733CF">
        <w:rPr>
          <w:rFonts w:ascii="Arial" w:hAnsi="Arial" w:cs="Arial"/>
          <w:sz w:val="24"/>
          <w:szCs w:val="24"/>
        </w:rPr>
        <w:t xml:space="preserve"> cunoscută la everolimus sau la alţi derivaţi de rapamicină (sirolimus)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3. Doze</w:t>
      </w:r>
      <w:proofErr w:type="gramEnd"/>
      <w:r w:rsidRPr="007733CF">
        <w:rPr>
          <w:rFonts w:ascii="Arial" w:hAnsi="Arial" w:cs="Arial"/>
          <w:sz w:val="24"/>
          <w:szCs w:val="24"/>
        </w:rPr>
        <w:t xml:space="preserve"> şi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iniţială recomandată de everolimus pentru tratarea pacienţilor cu ASCG este 4,5 mg/m</w:t>
      </w:r>
      <w:r w:rsidRPr="007733CF">
        <w:rPr>
          <w:rFonts w:ascii="Arial" w:hAnsi="Arial" w:cs="Arial"/>
          <w:sz w:val="24"/>
          <w:szCs w:val="24"/>
          <w:vertAlign w:val="superscript"/>
        </w:rPr>
        <w:t>2</w:t>
      </w:r>
      <w:r w:rsidRPr="007733CF">
        <w:rPr>
          <w:rFonts w:ascii="Arial" w:hAnsi="Arial" w:cs="Arial"/>
          <w:sz w:val="24"/>
          <w:szCs w:val="24"/>
        </w:rPr>
        <w:t>, concentraţiile minime de everolimus în sângele integral trebuie evaluate la aproximativ 2 săptămâni de la începerea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Dozarea se va face individualizat în funcţie de suprafaţa corporală (SC), folosind formula Dubois, unde masa (m) este exprimată în kilograme, iar înălţimea (h) în centimetri: SC = (W0</w:t>
      </w:r>
      <w:proofErr w:type="gramStart"/>
      <w:r w:rsidRPr="007733CF">
        <w:rPr>
          <w:rFonts w:ascii="Arial" w:hAnsi="Arial" w:cs="Arial"/>
          <w:sz w:val="24"/>
          <w:szCs w:val="24"/>
        </w:rPr>
        <w:t>,425</w:t>
      </w:r>
      <w:proofErr w:type="gramEnd"/>
      <w:r w:rsidRPr="007733CF">
        <w:rPr>
          <w:rFonts w:ascii="Arial" w:hAnsi="Arial" w:cs="Arial"/>
          <w:sz w:val="24"/>
          <w:szCs w:val="24"/>
        </w:rPr>
        <w:t xml:space="preserve"> x H0,725) x 0,007184.</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trebuie crescută treptat pentru </w:t>
      </w:r>
      <w:proofErr w:type="gramStart"/>
      <w:r w:rsidRPr="007733CF">
        <w:rPr>
          <w:rFonts w:ascii="Arial" w:hAnsi="Arial" w:cs="Arial"/>
          <w:sz w:val="24"/>
          <w:szCs w:val="24"/>
        </w:rPr>
        <w:t>a</w:t>
      </w:r>
      <w:proofErr w:type="gramEnd"/>
      <w:r w:rsidRPr="007733CF">
        <w:rPr>
          <w:rFonts w:ascii="Arial" w:hAnsi="Arial" w:cs="Arial"/>
          <w:sz w:val="24"/>
          <w:szCs w:val="24"/>
        </w:rPr>
        <w:t xml:space="preserve"> atinge concentraţiile de 5 până la 15 ng/ml.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poate fi crescută pentru </w:t>
      </w:r>
      <w:proofErr w:type="gramStart"/>
      <w:r w:rsidRPr="007733CF">
        <w:rPr>
          <w:rFonts w:ascii="Arial" w:hAnsi="Arial" w:cs="Arial"/>
          <w:sz w:val="24"/>
          <w:szCs w:val="24"/>
        </w:rPr>
        <w:t>a</w:t>
      </w:r>
      <w:proofErr w:type="gramEnd"/>
      <w:r w:rsidRPr="007733CF">
        <w:rPr>
          <w:rFonts w:ascii="Arial" w:hAnsi="Arial" w:cs="Arial"/>
          <w:sz w:val="24"/>
          <w:szCs w:val="24"/>
        </w:rPr>
        <w:t xml:space="preserve"> obţine o concentraţie plasmatică mai mare în limita intervalului-ţintă, pentru a se obţine eficacitatea optimă, în funcţie de tolerabilitate.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Odată ce s-a obţinut o doză stabilă, trebuie să se monitorizeze concentraţiile plasmatice la intervale de 3 până la 6 luni la pacienţii cu suprafaţă corporală în schimbare sau la intervale de 6 până la 12 luni la pacienţii cu suprafaţă corporală stabilă.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Trecerea de la o formă farmaceutică la </w:t>
      </w:r>
      <w:proofErr w:type="gramStart"/>
      <w:r w:rsidRPr="007733CF">
        <w:rPr>
          <w:rFonts w:ascii="Arial" w:hAnsi="Arial" w:cs="Arial"/>
          <w:sz w:val="24"/>
          <w:szCs w:val="24"/>
        </w:rPr>
        <w:t>alta</w:t>
      </w:r>
      <w:proofErr w:type="gramEnd"/>
      <w:r w:rsidRPr="007733CF">
        <w:rPr>
          <w:rFonts w:ascii="Arial" w:hAnsi="Arial" w:cs="Arial"/>
          <w:sz w:val="24"/>
          <w:szCs w:val="24"/>
        </w:rPr>
        <w:t>: doza trebuie ajustată pentru a se obţine concentraţia cea mai apropiată la miligram a noii forme farmaceutice, iar concentraţia sanguină a everolimus trebuie evaluată la aproximativ 2 săptămâni.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Recomandările privind dozele la pacienţii copii şi adolescenţi cu ASCG sunt conforme cu cele la pacienţii adulţi cu ASCG.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4. Modificările dozei cauzate de reacţiile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reacţii adverse de gradul 1 nu sunt necesare, de regulă, modificări ale dozei. Dacă </w:t>
      </w:r>
      <w:proofErr w:type="gramStart"/>
      <w:r w:rsidRPr="007733CF">
        <w:rPr>
          <w:rFonts w:ascii="Arial" w:hAnsi="Arial" w:cs="Arial"/>
          <w:sz w:val="24"/>
          <w:szCs w:val="24"/>
        </w:rPr>
        <w:t>este</w:t>
      </w:r>
      <w:proofErr w:type="gramEnd"/>
      <w:r w:rsidRPr="007733CF">
        <w:rPr>
          <w:rFonts w:ascii="Arial" w:hAnsi="Arial" w:cs="Arial"/>
          <w:sz w:val="24"/>
          <w:szCs w:val="24"/>
        </w:rPr>
        <w:t xml:space="preserve"> necesară reducerea dozei, doza recomandată este cu aproximativ 50% mai mică decât doza zilnică administrată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reducerea dozei sub cea mai mică concentraţie disponibilă trebuie avută în vedere administrarea la intervale de două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5. Monitorizarea terapeutică a medicamentului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Monitorizarea terapeutică a concentraţiilor de everolimus din sânge, folosindu-se </w:t>
      </w:r>
      <w:proofErr w:type="gramStart"/>
      <w:r w:rsidRPr="007733CF">
        <w:rPr>
          <w:rFonts w:ascii="Arial" w:hAnsi="Arial" w:cs="Arial"/>
          <w:sz w:val="24"/>
          <w:szCs w:val="24"/>
        </w:rPr>
        <w:t>un</w:t>
      </w:r>
      <w:proofErr w:type="gramEnd"/>
      <w:r w:rsidRPr="007733CF">
        <w:rPr>
          <w:rFonts w:ascii="Arial" w:hAnsi="Arial" w:cs="Arial"/>
          <w:sz w:val="24"/>
          <w:szCs w:val="24"/>
        </w:rPr>
        <w:t xml:space="preserve"> test validat, este necesară la pacienţii trataţi pentru ASCG.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Concentraţiile trebuie evaluate la minimum 1 săptămână de la doza iniţială, după orice modificare a dozei sau a formei farmaceutice, după iniţierea sau modificarea administrării concomitente de inductori sau inhibitori CYP3A4 sau după orice modificare a statusului hepatic (Child-Pugh).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6. Monitorizarea răspunsului la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volumul</w:t>
      </w:r>
      <w:proofErr w:type="gramEnd"/>
      <w:r w:rsidRPr="007733CF">
        <w:rPr>
          <w:rFonts w:ascii="Arial" w:hAnsi="Arial" w:cs="Arial"/>
          <w:sz w:val="24"/>
          <w:szCs w:val="24"/>
        </w:rPr>
        <w:t xml:space="preserve"> ASCG trebuie evaluat la aproximativ 3 luni de la iniţierea tratamentului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investigaţii</w:t>
      </w:r>
      <w:proofErr w:type="gramEnd"/>
      <w:r w:rsidRPr="007733CF">
        <w:rPr>
          <w:rFonts w:ascii="Arial" w:hAnsi="Arial" w:cs="Arial"/>
          <w:sz w:val="24"/>
          <w:szCs w:val="24"/>
        </w:rPr>
        <w:t xml:space="preserve"> imagistice (IRM):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w:t>
      </w:r>
      <w:proofErr w:type="gramStart"/>
      <w:r w:rsidRPr="007733CF">
        <w:rPr>
          <w:rFonts w:ascii="Arial" w:hAnsi="Arial" w:cs="Arial"/>
          <w:sz w:val="24"/>
          <w:szCs w:val="24"/>
        </w:rPr>
        <w:t>la</w:t>
      </w:r>
      <w:proofErr w:type="gramEnd"/>
      <w:r w:rsidRPr="007733CF">
        <w:rPr>
          <w:rFonts w:ascii="Arial" w:hAnsi="Arial" w:cs="Arial"/>
          <w:sz w:val="24"/>
          <w:szCs w:val="24"/>
        </w:rPr>
        <w:t xml:space="preserve"> fiecare 3 luni în primul an de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la 6 luni în cazul ASCG cu diametrul maxim mai mare de 1 cm; la 12 luni, începând cu al doilea an de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7. Criterii de întrerupere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lipsa</w:t>
      </w:r>
      <w:proofErr w:type="gramEnd"/>
      <w:r w:rsidRPr="007733CF">
        <w:rPr>
          <w:rFonts w:ascii="Arial" w:hAnsi="Arial" w:cs="Arial"/>
          <w:sz w:val="24"/>
          <w:szCs w:val="24"/>
        </w:rPr>
        <w:t xml:space="preserve"> eficacităţii clinice (evidenţiată prin examene imagistice IRM);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reacţii</w:t>
      </w:r>
      <w:proofErr w:type="gramEnd"/>
      <w:r w:rsidRPr="007733CF">
        <w:rPr>
          <w:rFonts w:ascii="Arial" w:hAnsi="Arial" w:cs="Arial"/>
          <w:sz w:val="24"/>
          <w:szCs w:val="24"/>
        </w:rPr>
        <w:t xml:space="preserve"> adverse severe sau contraindicaţii;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lipsa</w:t>
      </w:r>
      <w:proofErr w:type="gramEnd"/>
      <w:r w:rsidRPr="007733CF">
        <w:rPr>
          <w:rFonts w:ascii="Arial" w:hAnsi="Arial" w:cs="Arial"/>
          <w:sz w:val="24"/>
          <w:szCs w:val="24"/>
        </w:rPr>
        <w:t xml:space="preserve"> de complianţă a pacientului la terapie/monitorizare.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8. Reluare tratament (condiţii): urmând criteriile prezentului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9. Criterii de includere a pacienţilor care au urmat tratament sponsorizat sau din fonduri proprii, ca tratament de continuare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Pacientul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10. Prescriptori: </w:t>
      </w:r>
      <w:proofErr w:type="gramStart"/>
      <w:r w:rsidRPr="007733CF">
        <w:rPr>
          <w:rFonts w:ascii="Arial" w:hAnsi="Arial" w:cs="Arial"/>
          <w:sz w:val="24"/>
          <w:szCs w:val="24"/>
        </w:rPr>
        <w:t>medici</w:t>
      </w:r>
      <w:proofErr w:type="gramEnd"/>
      <w:r w:rsidRPr="007733CF">
        <w:rPr>
          <w:rFonts w:ascii="Arial" w:hAnsi="Arial" w:cs="Arial"/>
          <w:sz w:val="24"/>
          <w:szCs w:val="24"/>
        </w:rPr>
        <w:t xml:space="preserve"> din specialitatea neurologie pediatrică, neurologie. Oprirea tratamentului trebuie raportată de către medicul prescriptor la CAS cu care acesta se află în relaţii contractuale, în termen de maximum 10 zile de la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SECŢIUNEA 2:</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w:t>
      </w:r>
      <w:r w:rsidRPr="007733CF">
        <w:rPr>
          <w:rFonts w:ascii="Arial" w:hAnsi="Arial" w:cs="Arial"/>
          <w:b/>
          <w:bCs/>
          <w:sz w:val="24"/>
          <w:szCs w:val="24"/>
        </w:rPr>
        <w:t>II. Indicaţii: angiomiolipom renal asociat cu complexul sclerozei tuberoase (TSC)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Metodologia de includere în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w:t>
      </w:r>
      <w:proofErr w:type="gramEnd"/>
      <w:r w:rsidRPr="007733CF">
        <w:rPr>
          <w:rFonts w:ascii="Arial" w:hAnsi="Arial" w:cs="Arial"/>
          <w:sz w:val="24"/>
          <w:szCs w:val="24"/>
        </w:rPr>
        <w:t xml:space="preserve">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leziunile</w:t>
      </w:r>
      <w:proofErr w:type="gramEnd"/>
      <w:r w:rsidRPr="007733CF">
        <w:rPr>
          <w:rFonts w:ascii="Arial" w:hAnsi="Arial" w:cs="Arial"/>
          <w:sz w:val="24"/>
          <w:szCs w:val="24"/>
        </w:rPr>
        <w:t xml:space="preserve"> AML cu diametrul maxim egal sau mai mare de 3 cm documentat prin examen imagistic (RMN sau CT); tratamentul cu un inhibitor de mTOR este recomandat ca fiind cel mai eficient tratament de prima linie (evidenţă de categorie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creşterea</w:t>
      </w:r>
      <w:proofErr w:type="gramEnd"/>
      <w:r w:rsidRPr="007733CF">
        <w:rPr>
          <w:rFonts w:ascii="Arial" w:hAnsi="Arial" w:cs="Arial"/>
          <w:sz w:val="24"/>
          <w:szCs w:val="24"/>
        </w:rPr>
        <w:t xml:space="preserve"> în dimensiuni a angiolipomului argumentată prin imagini radiologice seriale;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evaluarea</w:t>
      </w:r>
      <w:proofErr w:type="gramEnd"/>
      <w:r w:rsidRPr="007733CF">
        <w:rPr>
          <w:rFonts w:ascii="Arial" w:hAnsi="Arial" w:cs="Arial"/>
          <w:sz w:val="24"/>
          <w:szCs w:val="24"/>
        </w:rPr>
        <w:t xml:space="preserve"> funcţiei renale (teste serice pentru determinarea ratei de filtrare glomerulară) şi a tensiunii arteriale.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Metodologia de excludere din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pacienţii</w:t>
      </w:r>
      <w:proofErr w:type="gramEnd"/>
      <w:r w:rsidRPr="007733CF">
        <w:rPr>
          <w:rFonts w:ascii="Arial" w:hAnsi="Arial" w:cs="Arial"/>
          <w:sz w:val="24"/>
          <w:szCs w:val="24"/>
        </w:rPr>
        <w:t xml:space="preserve"> cu simptomatologie acută datorată angiomiolipomului unde intervenţia chirurgicală este indicată (inclusiv hemoragie determinată de AML);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hipersensibilitate</w:t>
      </w:r>
      <w:proofErr w:type="gramEnd"/>
      <w:r w:rsidRPr="007733CF">
        <w:rPr>
          <w:rFonts w:ascii="Arial" w:hAnsi="Arial" w:cs="Arial"/>
          <w:sz w:val="24"/>
          <w:szCs w:val="24"/>
        </w:rPr>
        <w:t xml:space="preserve"> cunoscută la everolimus sau la alţi derivaţi de rapamicină (sirolimus)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3. Doze</w:t>
      </w:r>
      <w:proofErr w:type="gramEnd"/>
      <w:r w:rsidRPr="007733CF">
        <w:rPr>
          <w:rFonts w:ascii="Arial" w:hAnsi="Arial" w:cs="Arial"/>
          <w:sz w:val="24"/>
          <w:szCs w:val="24"/>
        </w:rPr>
        <w:t xml:space="preserve"> şi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recomandată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10 mg de everolimus o dată pe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Tratamentul trebuie continuat atât timp cât se observă </w:t>
      </w:r>
      <w:proofErr w:type="gramStart"/>
      <w:r w:rsidRPr="007733CF">
        <w:rPr>
          <w:rFonts w:ascii="Arial" w:hAnsi="Arial" w:cs="Arial"/>
          <w:sz w:val="24"/>
          <w:szCs w:val="24"/>
        </w:rPr>
        <w:t>un</w:t>
      </w:r>
      <w:proofErr w:type="gramEnd"/>
      <w:r w:rsidRPr="007733CF">
        <w:rPr>
          <w:rFonts w:ascii="Arial" w:hAnsi="Arial" w:cs="Arial"/>
          <w:sz w:val="24"/>
          <w:szCs w:val="24"/>
        </w:rPr>
        <w:t xml:space="preserve"> beneficiu clinic sau până când apare un nivel inacceptabil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omite o doză, pacientul nu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ia o doză suplimentară, ci următoarea doza prescrisă.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Hipertensiunea la pacienţii cu AML trebuie tratată de primă intenţie cu </w:t>
      </w:r>
      <w:proofErr w:type="gramStart"/>
      <w:r w:rsidRPr="007733CF">
        <w:rPr>
          <w:rFonts w:ascii="Arial" w:hAnsi="Arial" w:cs="Arial"/>
          <w:sz w:val="24"/>
          <w:szCs w:val="24"/>
        </w:rPr>
        <w:t>un</w:t>
      </w:r>
      <w:proofErr w:type="gramEnd"/>
      <w:r w:rsidRPr="007733CF">
        <w:rPr>
          <w:rFonts w:ascii="Arial" w:hAnsi="Arial" w:cs="Arial"/>
          <w:sz w:val="24"/>
          <w:szCs w:val="24"/>
        </w:rPr>
        <w:t xml:space="preserve"> inhibitor al sistemului renină-angiotensinăaldosteron, însă trebuie evitată asocierea inhibitorilor enzimei de conversie a angiotensinei la pacienţii trataţi cu un inhibitor de mTOR (evidenţă de categorie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4. Modificările dozei cauzate de reacţiile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reacţii adverse de gradul 1 nu sunt necesare, de regulă, modificări ale dozei. Dacă </w:t>
      </w:r>
      <w:proofErr w:type="gramStart"/>
      <w:r w:rsidRPr="007733CF">
        <w:rPr>
          <w:rFonts w:ascii="Arial" w:hAnsi="Arial" w:cs="Arial"/>
          <w:sz w:val="24"/>
          <w:szCs w:val="24"/>
        </w:rPr>
        <w:t>este</w:t>
      </w:r>
      <w:proofErr w:type="gramEnd"/>
      <w:r w:rsidRPr="007733CF">
        <w:rPr>
          <w:rFonts w:ascii="Arial" w:hAnsi="Arial" w:cs="Arial"/>
          <w:sz w:val="24"/>
          <w:szCs w:val="24"/>
        </w:rPr>
        <w:t xml:space="preserve"> necesară reducerea dozei, doza recomandată este cu aproximativ 50% mai mică decât doza zilnică administrată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reducerea dozei sub cea mai mică concentraţie disponibilă trebuie avută în vedere administrarea la intervale de două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5. Monitorizarea terapeutică a medicamentului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Monitorizarea terapeutică a concentraţiilor de everolimus din sânge, folosindu-se </w:t>
      </w:r>
      <w:proofErr w:type="gramStart"/>
      <w:r w:rsidRPr="007733CF">
        <w:rPr>
          <w:rFonts w:ascii="Arial" w:hAnsi="Arial" w:cs="Arial"/>
          <w:sz w:val="24"/>
          <w:szCs w:val="24"/>
        </w:rPr>
        <w:t>un</w:t>
      </w:r>
      <w:proofErr w:type="gramEnd"/>
      <w:r w:rsidRPr="007733CF">
        <w:rPr>
          <w:rFonts w:ascii="Arial" w:hAnsi="Arial" w:cs="Arial"/>
          <w:sz w:val="24"/>
          <w:szCs w:val="24"/>
        </w:rPr>
        <w:t xml:space="preserve">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6. Monitorizarea răspunsului la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volumul</w:t>
      </w:r>
      <w:proofErr w:type="gramEnd"/>
      <w:r w:rsidRPr="007733CF">
        <w:rPr>
          <w:rFonts w:ascii="Arial" w:hAnsi="Arial" w:cs="Arial"/>
          <w:sz w:val="24"/>
          <w:szCs w:val="24"/>
        </w:rPr>
        <w:t xml:space="preserve"> angiomiolipomului trebuie evaluat la 6 luni de la iniţierea tratamentului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investigaţii</w:t>
      </w:r>
      <w:proofErr w:type="gramEnd"/>
      <w:r w:rsidRPr="007733CF">
        <w:rPr>
          <w:rFonts w:ascii="Arial" w:hAnsi="Arial" w:cs="Arial"/>
          <w:sz w:val="24"/>
          <w:szCs w:val="24"/>
        </w:rPr>
        <w:t xml:space="preserve"> imagistice (CT sau RMN):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w:t>
      </w:r>
      <w:proofErr w:type="gramStart"/>
      <w:r w:rsidRPr="007733CF">
        <w:rPr>
          <w:rFonts w:ascii="Arial" w:hAnsi="Arial" w:cs="Arial"/>
          <w:sz w:val="24"/>
          <w:szCs w:val="24"/>
        </w:rPr>
        <w:t>la</w:t>
      </w:r>
      <w:proofErr w:type="gramEnd"/>
      <w:r w:rsidRPr="007733CF">
        <w:rPr>
          <w:rFonts w:ascii="Arial" w:hAnsi="Arial" w:cs="Arial"/>
          <w:sz w:val="24"/>
          <w:szCs w:val="24"/>
        </w:rPr>
        <w:t xml:space="preserve"> fiecare 6 luni de la iniţierea tratamentului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RMN </w:t>
      </w:r>
      <w:proofErr w:type="gramStart"/>
      <w:r w:rsidRPr="007733CF">
        <w:rPr>
          <w:rFonts w:ascii="Arial" w:hAnsi="Arial" w:cs="Arial"/>
          <w:sz w:val="24"/>
          <w:szCs w:val="24"/>
        </w:rPr>
        <w:t>este</w:t>
      </w:r>
      <w:proofErr w:type="gramEnd"/>
      <w:r w:rsidRPr="007733CF">
        <w:rPr>
          <w:rFonts w:ascii="Arial" w:hAnsi="Arial" w:cs="Arial"/>
          <w:sz w:val="24"/>
          <w:szCs w:val="24"/>
        </w:rPr>
        <w:t xml:space="preserve"> recomandat la 1 - 3 ani de la diagnosticul iniţial;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evaluarea</w:t>
      </w:r>
      <w:proofErr w:type="gramEnd"/>
      <w:r w:rsidRPr="007733CF">
        <w:rPr>
          <w:rFonts w:ascii="Arial" w:hAnsi="Arial" w:cs="Arial"/>
          <w:sz w:val="24"/>
          <w:szCs w:val="24"/>
        </w:rPr>
        <w:t xml:space="preserve"> cel puţin anuală a funcţiei renale (incluzând rata de filtrare glomerulară) şi a tensiunii arteriale.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7. Criterii de întrerupere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lipsa</w:t>
      </w:r>
      <w:proofErr w:type="gramEnd"/>
      <w:r w:rsidRPr="007733CF">
        <w:rPr>
          <w:rFonts w:ascii="Arial" w:hAnsi="Arial" w:cs="Arial"/>
          <w:sz w:val="24"/>
          <w:szCs w:val="24"/>
        </w:rPr>
        <w:t xml:space="preserve"> eficacităţii clinice (evidenţiată prin examene imagistice RMN);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reacţii</w:t>
      </w:r>
      <w:proofErr w:type="gramEnd"/>
      <w:r w:rsidRPr="007733CF">
        <w:rPr>
          <w:rFonts w:ascii="Arial" w:hAnsi="Arial" w:cs="Arial"/>
          <w:sz w:val="24"/>
          <w:szCs w:val="24"/>
        </w:rPr>
        <w:t xml:space="preserve"> adverse severe sau contraindicaţii;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lipsa</w:t>
      </w:r>
      <w:proofErr w:type="gramEnd"/>
      <w:r w:rsidRPr="007733CF">
        <w:rPr>
          <w:rFonts w:ascii="Arial" w:hAnsi="Arial" w:cs="Arial"/>
          <w:sz w:val="24"/>
          <w:szCs w:val="24"/>
        </w:rPr>
        <w:t xml:space="preserve"> de complianţă a pacientului la terapie/monitorizare.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8. Reluare tratament (condiţii): urmând criteriile prezentului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9. Criterii de includere a pacienţilor care au urmat tratament sponsorizat sau din fonduri proprii, ca tratament de continuare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Pacientul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10. Medicii din specialitatea: nefrologie, urologie, neurologie şi neurologie pediatrică (după confirmarea diagnosticului de angiomiolipom renal de către nefrolog/urolog). Oprirea tratamentului trebuie raportată de către medicul prescriptor la CAS cu care acesta se află în relaţii contractuale, în termen de maximum 10 zile de la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SECŢIUNEA 3:</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Indicaţii: epilepsii rezistente la tratamentul anticonvulsivant*) asociate complexului sclerozei tuberoase (TSC)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Metodologia de includere în tratament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 pacienţi cu vârsta de 2 ani şi peste această vârstă, ale căror crize epileptice rezistente*) la tratamentul anticonvulsivant, cu debut focal, cu sau fără generalizare secundară, sunt asociate cu complexul sclerozei tuberoase.</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Metodologia de excludere din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hipersensibilitate</w:t>
      </w:r>
      <w:proofErr w:type="gramEnd"/>
      <w:r w:rsidRPr="007733CF">
        <w:rPr>
          <w:rFonts w:ascii="Arial" w:hAnsi="Arial" w:cs="Arial"/>
          <w:sz w:val="24"/>
          <w:szCs w:val="24"/>
        </w:rPr>
        <w:t xml:space="preserve"> cunoscută la everolimus, la alţi derivaţi de rapamicină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w:t>
      </w:r>
      <w:proofErr w:type="gramEnd"/>
      <w:r w:rsidRPr="007733CF">
        <w:rPr>
          <w:rFonts w:ascii="Arial" w:hAnsi="Arial" w:cs="Arial"/>
          <w:sz w:val="24"/>
          <w:szCs w:val="24"/>
        </w:rPr>
        <w:t xml:space="preserve"> cu astrocitom subependimal cu celule gigante (ASCG) care necesită intervenţie chirurgicală de urgenţă;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w:t>
      </w:r>
      <w:proofErr w:type="gramEnd"/>
      <w:r w:rsidRPr="007733CF">
        <w:rPr>
          <w:rFonts w:ascii="Arial" w:hAnsi="Arial" w:cs="Arial"/>
          <w:sz w:val="24"/>
          <w:szCs w:val="24"/>
        </w:rPr>
        <w:t xml:space="preserve"> care prezintă crize epileptice de alte cauze decât cele asociate complexului sclerozei tuberoase.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3. Doze</w:t>
      </w:r>
      <w:proofErr w:type="gramEnd"/>
      <w:r w:rsidRPr="007733CF">
        <w:rPr>
          <w:rFonts w:ascii="Arial" w:hAnsi="Arial" w:cs="Arial"/>
          <w:sz w:val="24"/>
          <w:szCs w:val="24"/>
        </w:rPr>
        <w:t xml:space="preserve"> şi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iniţială de everolimus recomandată pentru tratamentul pacienţilor cu convulsii </w:t>
      </w:r>
      <w:proofErr w:type="gramStart"/>
      <w:r w:rsidRPr="007733CF">
        <w:rPr>
          <w:rFonts w:ascii="Arial" w:hAnsi="Arial" w:cs="Arial"/>
          <w:sz w:val="24"/>
          <w:szCs w:val="24"/>
        </w:rPr>
        <w:t>este</w:t>
      </w:r>
      <w:proofErr w:type="gramEnd"/>
      <w:r w:rsidRPr="007733CF">
        <w:rPr>
          <w:rFonts w:ascii="Arial" w:hAnsi="Arial" w:cs="Arial"/>
          <w:sz w:val="24"/>
          <w:szCs w:val="24"/>
        </w:rPr>
        <w:t xml:space="preserve"> prezentată în tabelul de mai jos.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w:t>
      </w:r>
      <w:proofErr w:type="gramStart"/>
      <w:r w:rsidRPr="007733CF">
        <w:rPr>
          <w:rFonts w:ascii="Arial" w:hAnsi="Arial" w:cs="Arial"/>
          <w:sz w:val="24"/>
          <w:szCs w:val="24"/>
        </w:rPr>
        <w:t>a</w:t>
      </w:r>
      <w:proofErr w:type="gramEnd"/>
      <w:r w:rsidRPr="007733CF">
        <w:rPr>
          <w:rFonts w:ascii="Arial" w:hAnsi="Arial" w:cs="Arial"/>
          <w:sz w:val="24"/>
          <w:szCs w:val="24"/>
        </w:rPr>
        <w:t xml:space="preserve"> obţine doza dorită pot fi combinate concentraţii diferite de everolimus comprimate pentru dispersie orală. Doza iniţială de everolimus la pacienţii cu convulsii refractare asociate CST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Crize epileptice rezistente la tratament = crize persistente deşi au fost administrate cel puţin 2 medicamente anticonvulsivante, indicate şi administrate corect, în monoterapie şi/sau combinaţie.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xml:space="preserve"> ___________________________________________________</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proofErr w:type="gramStart"/>
      <w:r w:rsidRPr="00451C4D">
        <w:rPr>
          <w:rFonts w:ascii="Courier New" w:hAnsi="Courier New" w:cs="Courier New"/>
          <w:sz w:val="24"/>
          <w:szCs w:val="24"/>
        </w:rPr>
        <w:t>|  Vârsta</w:t>
      </w:r>
      <w:proofErr w:type="gramEnd"/>
      <w:r w:rsidRPr="00451C4D">
        <w:rPr>
          <w:rFonts w:ascii="Courier New" w:hAnsi="Courier New" w:cs="Courier New"/>
          <w:sz w:val="24"/>
          <w:szCs w:val="24"/>
        </w:rPr>
        <w:t xml:space="preserve">   | Doza iniţială fără | Doza iniţială cu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administrarea      | administrarea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concomitentă a     | concomitentă a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unui inductor      | unui inductor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CYP3A4/PgP         | CYP3A4/PgP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|___________|____________________|__________________|</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&lt; 6 ani   |      6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     9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|___________|____________________|__________________|</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&gt;/= 6 ani |      5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     8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|___________|____________________|__________________|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Recomandările privind dozele pentru pacienţii copii şi adolescenţi sunt conforme cu cele pentru populaţia adultă, cu excepţia pacienţilor cu vârsta cuprinsă între 2 ani şi sub 6 ani şi pacienţii cu insuficienţă hepatică.</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4. Modificările dozei cauzate de reacţiile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reacţii adverse de gradul 1 nu sunt necesare, de regulă, modificări ale dozei. Dacă </w:t>
      </w:r>
      <w:proofErr w:type="gramStart"/>
      <w:r w:rsidRPr="007733CF">
        <w:rPr>
          <w:rFonts w:ascii="Arial" w:hAnsi="Arial" w:cs="Arial"/>
          <w:sz w:val="24"/>
          <w:szCs w:val="24"/>
        </w:rPr>
        <w:t>este</w:t>
      </w:r>
      <w:proofErr w:type="gramEnd"/>
      <w:r w:rsidRPr="007733CF">
        <w:rPr>
          <w:rFonts w:ascii="Arial" w:hAnsi="Arial" w:cs="Arial"/>
          <w:sz w:val="24"/>
          <w:szCs w:val="24"/>
        </w:rPr>
        <w:t xml:space="preserve"> necesară reducerea dozei, doza recomandată este cu aproximativ 50% mai mică decât doza zilnică administrată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reducerea dozei sub cea mai mică concentraţie disponibilă trebuie avută în vedere administrarea la intervale de două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5. Monitorizarea terapeutică a medicamentului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Monitorizarea terapeutică a concentraţiilor de everolimus din sânge, folosindu-se </w:t>
      </w:r>
      <w:proofErr w:type="gramStart"/>
      <w:r w:rsidRPr="007733CF">
        <w:rPr>
          <w:rFonts w:ascii="Arial" w:hAnsi="Arial" w:cs="Arial"/>
          <w:sz w:val="24"/>
          <w:szCs w:val="24"/>
        </w:rPr>
        <w:t>un</w:t>
      </w:r>
      <w:proofErr w:type="gramEnd"/>
      <w:r w:rsidRPr="007733CF">
        <w:rPr>
          <w:rFonts w:ascii="Arial" w:hAnsi="Arial" w:cs="Arial"/>
          <w:sz w:val="24"/>
          <w:szCs w:val="24"/>
        </w:rPr>
        <w:t xml:space="preserve"> test validat, este necesară la minimum o săptămână de la începerea tratamentului. Doza trebuie ajustată pentru a se obţine concentraţii plasmatice de 5 până la 15 ng/ml. Doza poate fi crescută pentru a obţine o concentraţie plasmatică mai mare în intervalul-ţintă pentru obţinerea eficacităţii optime, în funcţie de tolerabilitate.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Creşterea treptată a dozei: doza individualizată trebuie titrată, crescând doza în trepte de 1 până la 4 mg pentru a obţine concentraţia plasmatică ţintă pentru </w:t>
      </w:r>
      <w:proofErr w:type="gramStart"/>
      <w:r w:rsidRPr="007733CF">
        <w:rPr>
          <w:rFonts w:ascii="Arial" w:hAnsi="Arial" w:cs="Arial"/>
          <w:sz w:val="24"/>
          <w:szCs w:val="24"/>
        </w:rPr>
        <w:t>un</w:t>
      </w:r>
      <w:proofErr w:type="gramEnd"/>
      <w:r w:rsidRPr="007733CF">
        <w:rPr>
          <w:rFonts w:ascii="Arial" w:hAnsi="Arial" w:cs="Arial"/>
          <w:sz w:val="24"/>
          <w:szCs w:val="24"/>
        </w:rPr>
        <w:t xml:space="preserve"> răspuns clinic optim. Eficacitatea, siguranţa, terapiile administrate concomitent şi concentraţia plasmatică curentă trebuie avute în vedere când se planifică titrarea dozei. Titrarea individualizată a dozei se poate baza pe o formulă simplă: noua doză de everolimus = doza curentă x (concentraţia-ţintă/concentraţia curentă).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Odată ce s-a obţinut o doză stabilă, trebuie să se monitorizeze concentraţiile plasmatice la intervale de 3 până la 6 luni la pacienţii cu suprafaţă corporală în schimbare sau la intervale de 6 până la 12 luni la pacienţii cu suprafaţă corporală stabilă.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6. Monitorizarea răspunsului la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Tratamentul trebuie continuat atât timp cât se observă </w:t>
      </w:r>
      <w:proofErr w:type="gramStart"/>
      <w:r w:rsidRPr="007733CF">
        <w:rPr>
          <w:rFonts w:ascii="Arial" w:hAnsi="Arial" w:cs="Arial"/>
          <w:sz w:val="24"/>
          <w:szCs w:val="24"/>
        </w:rPr>
        <w:t>un</w:t>
      </w:r>
      <w:proofErr w:type="gramEnd"/>
      <w:r w:rsidRPr="007733CF">
        <w:rPr>
          <w:rFonts w:ascii="Arial" w:hAnsi="Arial" w:cs="Arial"/>
          <w:sz w:val="24"/>
          <w:szCs w:val="24"/>
        </w:rPr>
        <w:t xml:space="preserve"> beneficiu clinic sau până când apare un nivel inacceptabil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7. Criterii de întrerupere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lipsa</w:t>
      </w:r>
      <w:proofErr w:type="gramEnd"/>
      <w:r w:rsidRPr="007733CF">
        <w:rPr>
          <w:rFonts w:ascii="Arial" w:hAnsi="Arial" w:cs="Arial"/>
          <w:sz w:val="24"/>
          <w:szCs w:val="24"/>
        </w:rPr>
        <w:t xml:space="preserve"> eficacităţii clinice (lipsa scăderii sau exacerbarea frecvenţei crizelor epileptice);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reacţii</w:t>
      </w:r>
      <w:proofErr w:type="gramEnd"/>
      <w:r w:rsidRPr="007733CF">
        <w:rPr>
          <w:rFonts w:ascii="Arial" w:hAnsi="Arial" w:cs="Arial"/>
          <w:sz w:val="24"/>
          <w:szCs w:val="24"/>
        </w:rPr>
        <w:t xml:space="preserve"> adverse severe sau contraindicaţii;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lipsa</w:t>
      </w:r>
      <w:proofErr w:type="gramEnd"/>
      <w:r w:rsidRPr="007733CF">
        <w:rPr>
          <w:rFonts w:ascii="Arial" w:hAnsi="Arial" w:cs="Arial"/>
          <w:sz w:val="24"/>
          <w:szCs w:val="24"/>
        </w:rPr>
        <w:t xml:space="preserve"> de complianţă a pacientului la terapie/monitorizare.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8. Reluare tratament (condiţii): urmând criteriile prezentului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9. Criterii de includere a pacienţilor care au urmat tratament sponsorizat sau din fonduri proprii, ca tratament de continuare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Pacientul trebuie </w:t>
      </w:r>
      <w:proofErr w:type="gramStart"/>
      <w:r w:rsidRPr="007733CF">
        <w:rPr>
          <w:rFonts w:ascii="Arial" w:hAnsi="Arial" w:cs="Arial"/>
          <w:sz w:val="24"/>
          <w:szCs w:val="24"/>
        </w:rPr>
        <w:t>sa</w:t>
      </w:r>
      <w:proofErr w:type="gramEnd"/>
      <w:r w:rsidRPr="007733CF">
        <w:rPr>
          <w:rFonts w:ascii="Arial" w:hAnsi="Arial" w:cs="Arial"/>
          <w:sz w:val="24"/>
          <w:szCs w:val="24"/>
        </w:rPr>
        <w:t xml:space="preserve">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10. Prescriptori: </w:t>
      </w:r>
      <w:proofErr w:type="gramStart"/>
      <w:r w:rsidRPr="007733CF">
        <w:rPr>
          <w:rFonts w:ascii="Arial" w:hAnsi="Arial" w:cs="Arial"/>
          <w:sz w:val="24"/>
          <w:szCs w:val="24"/>
        </w:rPr>
        <w:t>medici</w:t>
      </w:r>
      <w:proofErr w:type="gramEnd"/>
      <w:r w:rsidRPr="007733CF">
        <w:rPr>
          <w:rFonts w:ascii="Arial" w:hAnsi="Arial" w:cs="Arial"/>
          <w:sz w:val="24"/>
          <w:szCs w:val="24"/>
        </w:rPr>
        <w:t xml:space="preserve"> din specialitatea neurologie pediatrică, neurologie. Oprirea tratamentului trebuie raportată de către medicul prescriptor la CAS cu care acesta se află în relaţii contractuale, în termen de maximum 10 zile de la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 xml:space="preserve">3. Protocolul terapeutic corespunzător poziţiei nr. 223 cod (L01XC15): DCI OBINUTUZUMAB se modifică şi </w:t>
      </w:r>
      <w:proofErr w:type="gramStart"/>
      <w:r w:rsidRPr="007733CF">
        <w:rPr>
          <w:rFonts w:ascii="Arial" w:hAnsi="Arial" w:cs="Arial"/>
          <w:b/>
          <w:bCs/>
          <w:sz w:val="24"/>
          <w:szCs w:val="24"/>
        </w:rPr>
        <w:t>va</w:t>
      </w:r>
      <w:proofErr w:type="gramEnd"/>
      <w:r w:rsidRPr="007733CF">
        <w:rPr>
          <w:rFonts w:ascii="Arial" w:hAnsi="Arial" w:cs="Arial"/>
          <w:b/>
          <w:bCs/>
          <w:sz w:val="24"/>
          <w:szCs w:val="24"/>
        </w:rPr>
        <w:t xml:space="preserve">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OBINUTUZUMAB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Indicaţia terapeutică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Obinutuzumab administrat în asociere cu clorambucil este indicat pentru tratamentul pacienţilor adulţi cu leucemie limfocitară cronică (LLC) netratată anterior şi cu comorbidităţi care nu permit administrarea unui tratament pe bază de fludarabină în doză completă.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Obinutuzumab administrat în asociere cu bendamustină, urmat de tratament de întreţinere cu obinutuzumab în monoterapie, este indicat pentru tratamentul pacienţilor cu limfom folicular (LF) care nu au răspuns la tratament sau au prezentat progresia bolii în timpul sau în interval de 6 luni după tratamentul cu rituximab sau cu o schemă de tratament care a inclus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cu LLC şi indicaţie de iniţiere a tratamentului cărora nu li s-a administrat nicio linie de tratament şi care au alte afecţiuni care induc intoleranţa la administrarea unei doze complete de fludarabină;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cu limfom folicular cărora li s-a administrat cel puţin o linie de tratament cu rituximab, care nu au răspuns la tratament sau care au prezentat progresia bolii în timpul sau în interval de 6 luni după acesta.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hipersensibilitate</w:t>
      </w:r>
      <w:proofErr w:type="gramEnd"/>
      <w:r w:rsidRPr="007733CF">
        <w:rPr>
          <w:rFonts w:ascii="Arial" w:hAnsi="Arial" w:cs="Arial"/>
          <w:sz w:val="24"/>
          <w:szCs w:val="24"/>
        </w:rPr>
        <w:t xml:space="preserve"> la obinutuzumab sau la oricare dintre celelalte componente ale acestui medicament;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obinutuzumab</w:t>
      </w:r>
      <w:proofErr w:type="gramEnd"/>
      <w:r w:rsidRPr="007733CF">
        <w:rPr>
          <w:rFonts w:ascii="Arial" w:hAnsi="Arial" w:cs="Arial"/>
          <w:sz w:val="24"/>
          <w:szCs w:val="24"/>
        </w:rPr>
        <w:t xml:space="preserve"> nu trebuie administrat în prezenţa unei infecţii active şi trebuie acordată atenţie atunci când se ia în considerare utilizarea la pacienţii cu infecţii recurente sau cronice în antecedente;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pacienţii</w:t>
      </w:r>
      <w:proofErr w:type="gramEnd"/>
      <w:r w:rsidRPr="007733CF">
        <w:rPr>
          <w:rFonts w:ascii="Arial" w:hAnsi="Arial" w:cs="Arial"/>
          <w:sz w:val="24"/>
          <w:szCs w:val="24"/>
        </w:rPr>
        <w:t xml:space="preserve"> cu hepatită B activă nu trebuie trataţi cu obinutuzumab;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obinutuzumab</w:t>
      </w:r>
      <w:proofErr w:type="gramEnd"/>
      <w:r w:rsidRPr="007733CF">
        <w:rPr>
          <w:rFonts w:ascii="Arial" w:hAnsi="Arial" w:cs="Arial"/>
          <w:sz w:val="24"/>
          <w:szCs w:val="24"/>
        </w:rPr>
        <w:t xml:space="preserve"> nu trebuie administrat la femeile gravide decât dacă beneficiul potenţial depăşeşte riscul potenţial;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nu</w:t>
      </w:r>
      <w:proofErr w:type="gramEnd"/>
      <w:r w:rsidRPr="007733CF">
        <w:rPr>
          <w:rFonts w:ascii="Arial" w:hAnsi="Arial" w:cs="Arial"/>
          <w:sz w:val="24"/>
          <w:szCs w:val="24"/>
        </w:rPr>
        <w:t xml:space="preserve"> se administrează obinutuzumab copiilor şi adolescenţilor cu vârsta sub 18 ani, deoarece nu există informaţii privind utilizarea sa la aceste grupe de vârstă.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r w:rsidRPr="007733CF">
        <w:rPr>
          <w:rFonts w:ascii="Arial" w:hAnsi="Arial" w:cs="Arial"/>
          <w:sz w:val="24"/>
          <w:szCs w:val="24"/>
          <w:u w:val="single"/>
        </w:rPr>
        <w:t>Leucemie limfocitară cronică (LLC):</w:t>
      </w:r>
      <w:r w:rsidRPr="007733CF">
        <w:rPr>
          <w:rFonts w:ascii="Arial" w:hAnsi="Arial" w:cs="Arial"/>
          <w:sz w:val="24"/>
          <w:szCs w:val="24"/>
        </w:rPr>
        <w:t xml:space="preserve"> se vor administra 6 cicluri de tratament cu obinutuzumab în asociere cu </w:t>
      </w:r>
      <w:proofErr w:type="gramStart"/>
      <w:r w:rsidRPr="007733CF">
        <w:rPr>
          <w:rFonts w:ascii="Arial" w:hAnsi="Arial" w:cs="Arial"/>
          <w:sz w:val="24"/>
          <w:szCs w:val="24"/>
        </w:rPr>
        <w:t>un</w:t>
      </w:r>
      <w:proofErr w:type="gramEnd"/>
      <w:r w:rsidRPr="007733CF">
        <w:rPr>
          <w:rFonts w:ascii="Arial" w:hAnsi="Arial" w:cs="Arial"/>
          <w:sz w:val="24"/>
          <w:szCs w:val="24"/>
        </w:rPr>
        <w:t xml:space="preserve"> alt medicament pentru tratamentul cancerului, numit clorambucil. </w:t>
      </w:r>
      <w:proofErr w:type="gramStart"/>
      <w:r w:rsidRPr="007733CF">
        <w:rPr>
          <w:rFonts w:ascii="Arial" w:hAnsi="Arial" w:cs="Arial"/>
          <w:sz w:val="24"/>
          <w:szCs w:val="24"/>
        </w:rPr>
        <w:t>Fiecare ciclu de tratament durează 28 de zile.</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ziua 1 din primul ciclu de tratament se </w:t>
      </w:r>
      <w:proofErr w:type="gramStart"/>
      <w:r w:rsidRPr="007733CF">
        <w:rPr>
          <w:rFonts w:ascii="Arial" w:hAnsi="Arial" w:cs="Arial"/>
          <w:sz w:val="24"/>
          <w:szCs w:val="24"/>
        </w:rPr>
        <w:t>va</w:t>
      </w:r>
      <w:proofErr w:type="gramEnd"/>
      <w:r w:rsidRPr="007733CF">
        <w:rPr>
          <w:rFonts w:ascii="Arial" w:hAnsi="Arial" w:cs="Arial"/>
          <w:sz w:val="24"/>
          <w:szCs w:val="24"/>
        </w:rPr>
        <w:t xml:space="preserve"> administra, foarte lent, o parte a primei doze, de 100 miligrame (mg) de obinutuzumab. Se </w:t>
      </w:r>
      <w:proofErr w:type="gramStart"/>
      <w:r w:rsidRPr="007733CF">
        <w:rPr>
          <w:rFonts w:ascii="Arial" w:hAnsi="Arial" w:cs="Arial"/>
          <w:sz w:val="24"/>
          <w:szCs w:val="24"/>
        </w:rPr>
        <w:t>va</w:t>
      </w:r>
      <w:proofErr w:type="gramEnd"/>
      <w:r w:rsidRPr="007733CF">
        <w:rPr>
          <w:rFonts w:ascii="Arial" w:hAnsi="Arial" w:cs="Arial"/>
          <w:sz w:val="24"/>
          <w:szCs w:val="24"/>
        </w:rPr>
        <w:t xml:space="preserve"> monitoriza cu atenţie pentru a putea depista reacţiile adverse legate de administrarea perfuziei (RAP).</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Dacă nu apare vreo reacţie legată de administrarea perfuziei după administrarea acestei mici părţi din prima doză, restul primei doze (900 mg) </w:t>
      </w:r>
      <w:proofErr w:type="gramStart"/>
      <w:r w:rsidRPr="007733CF">
        <w:rPr>
          <w:rFonts w:ascii="Arial" w:hAnsi="Arial" w:cs="Arial"/>
          <w:sz w:val="24"/>
          <w:szCs w:val="24"/>
        </w:rPr>
        <w:t>va</w:t>
      </w:r>
      <w:proofErr w:type="gramEnd"/>
      <w:r w:rsidRPr="007733CF">
        <w:rPr>
          <w:rFonts w:ascii="Arial" w:hAnsi="Arial" w:cs="Arial"/>
          <w:sz w:val="24"/>
          <w:szCs w:val="24"/>
        </w:rPr>
        <w:t xml:space="preserve"> fi administrat în aceeaşi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apare o reacţie legată de administrarea perfuziei după administrarea acestei mici părţi din prima doză, restul primei doze </w:t>
      </w:r>
      <w:proofErr w:type="gramStart"/>
      <w:r w:rsidRPr="007733CF">
        <w:rPr>
          <w:rFonts w:ascii="Arial" w:hAnsi="Arial" w:cs="Arial"/>
          <w:sz w:val="24"/>
          <w:szCs w:val="24"/>
        </w:rPr>
        <w:t>va</w:t>
      </w:r>
      <w:proofErr w:type="gramEnd"/>
      <w:r w:rsidRPr="007733CF">
        <w:rPr>
          <w:rFonts w:ascii="Arial" w:hAnsi="Arial" w:cs="Arial"/>
          <w:sz w:val="24"/>
          <w:szCs w:val="24"/>
        </w:rPr>
        <w:t xml:space="preserve"> fi administrat în ziua 2.</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O schemă standard de tratament </w:t>
      </w:r>
      <w:proofErr w:type="gramStart"/>
      <w:r w:rsidRPr="007733CF">
        <w:rPr>
          <w:rFonts w:ascii="Arial" w:hAnsi="Arial" w:cs="Arial"/>
          <w:sz w:val="24"/>
          <w:szCs w:val="24"/>
        </w:rPr>
        <w:t>este</w:t>
      </w:r>
      <w:proofErr w:type="gramEnd"/>
      <w:r w:rsidRPr="007733CF">
        <w:rPr>
          <w:rFonts w:ascii="Arial" w:hAnsi="Arial" w:cs="Arial"/>
          <w:sz w:val="24"/>
          <w:szCs w:val="24"/>
        </w:rPr>
        <w:t xml:space="preserve"> prezentată mai jos.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Ciclul 1 de tratament - acesta </w:t>
      </w:r>
      <w:proofErr w:type="gramStart"/>
      <w:r w:rsidRPr="007733CF">
        <w:rPr>
          <w:rFonts w:ascii="Arial" w:hAnsi="Arial" w:cs="Arial"/>
          <w:sz w:val="24"/>
          <w:szCs w:val="24"/>
        </w:rPr>
        <w:t>va</w:t>
      </w:r>
      <w:proofErr w:type="gramEnd"/>
      <w:r w:rsidRPr="007733CF">
        <w:rPr>
          <w:rFonts w:ascii="Arial" w:hAnsi="Arial" w:cs="Arial"/>
          <w:sz w:val="24"/>
          <w:szCs w:val="24"/>
        </w:rPr>
        <w:t xml:space="preserve"> include trei doze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1 - o parte a primei doze (100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2 sau ziua 1 (continuare) - restul primei doze, 900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8 -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15 -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Ciclurile de tratament 2, 3, 4, 5 şi 6 - o singură doză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1 -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r w:rsidRPr="007733CF">
        <w:rPr>
          <w:rFonts w:ascii="Arial" w:hAnsi="Arial" w:cs="Arial"/>
          <w:sz w:val="24"/>
          <w:szCs w:val="24"/>
          <w:u w:val="single"/>
        </w:rPr>
        <w:t>Limfom folicular (LF):</w:t>
      </w:r>
      <w:r w:rsidRPr="007733CF">
        <w:rPr>
          <w:rFonts w:ascii="Arial" w:hAnsi="Arial" w:cs="Arial"/>
          <w:sz w:val="24"/>
          <w:szCs w:val="24"/>
        </w:rPr>
        <w:t xml:space="preserve"> se vor administra 6 cicluri de tratament cu obinutuzumab în asociere cu bendamustină - fiecare ciclu de tratament durează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Acestea vor fi urmate de o "fază de întreţinere" - în acest interval se va administra obinutuzumab în monoterapie la fiecare 2 luni timp de până la 2 ani, în condiţiile în care boala nu avansează.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O schemă standard de tratament </w:t>
      </w:r>
      <w:proofErr w:type="gramStart"/>
      <w:r w:rsidRPr="007733CF">
        <w:rPr>
          <w:rFonts w:ascii="Arial" w:hAnsi="Arial" w:cs="Arial"/>
          <w:sz w:val="24"/>
          <w:szCs w:val="24"/>
        </w:rPr>
        <w:t>este</w:t>
      </w:r>
      <w:proofErr w:type="gramEnd"/>
      <w:r w:rsidRPr="007733CF">
        <w:rPr>
          <w:rFonts w:ascii="Arial" w:hAnsi="Arial" w:cs="Arial"/>
          <w:sz w:val="24"/>
          <w:szCs w:val="24"/>
        </w:rPr>
        <w:t xml:space="preserve"> prezentată mai jos: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Terapie de inducţie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Ciclul 1 de tratament - aceasta </w:t>
      </w:r>
      <w:proofErr w:type="gramStart"/>
      <w:r w:rsidRPr="007733CF">
        <w:rPr>
          <w:rFonts w:ascii="Arial" w:hAnsi="Arial" w:cs="Arial"/>
          <w:sz w:val="24"/>
          <w:szCs w:val="24"/>
        </w:rPr>
        <w:t>va</w:t>
      </w:r>
      <w:proofErr w:type="gramEnd"/>
      <w:r w:rsidRPr="007733CF">
        <w:rPr>
          <w:rFonts w:ascii="Arial" w:hAnsi="Arial" w:cs="Arial"/>
          <w:sz w:val="24"/>
          <w:szCs w:val="24"/>
        </w:rPr>
        <w:t xml:space="preserve"> include trei doze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1 -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8 -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15 -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Ciclurile de tratament 2, 3, 4, 5 şi 6 - o singură doză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ziua</w:t>
      </w:r>
      <w:proofErr w:type="gramEnd"/>
      <w:r w:rsidRPr="007733CF">
        <w:rPr>
          <w:rFonts w:ascii="Arial" w:hAnsi="Arial" w:cs="Arial"/>
          <w:sz w:val="24"/>
          <w:szCs w:val="24"/>
        </w:rPr>
        <w:t xml:space="preserve"> 1 -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Bendamustina se administrează în zilele 1 şi 2 ale ciclurilor 1 - 6, în perfuzie intravenoasă în doză de 90 mg/m 2/zi.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Terapie de întreţinere: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doză completă (1.000 mg) la fiecare 2 luni timp de până la 2 ani, în condiţiile în care boala nu avansează.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 xml:space="preserve">Profilaxia şi premedicaţia în cazul sindromului de </w:t>
      </w:r>
      <w:proofErr w:type="gramStart"/>
      <w:r w:rsidRPr="007733CF">
        <w:rPr>
          <w:rFonts w:ascii="Arial" w:hAnsi="Arial" w:cs="Arial"/>
          <w:b/>
          <w:bCs/>
          <w:sz w:val="24"/>
          <w:szCs w:val="24"/>
        </w:rPr>
        <w:t>liză</w:t>
      </w:r>
      <w:proofErr w:type="gramEnd"/>
      <w:r w:rsidRPr="007733CF">
        <w:rPr>
          <w:rFonts w:ascii="Arial" w:hAnsi="Arial" w:cs="Arial"/>
          <w:b/>
          <w:bCs/>
          <w:sz w:val="24"/>
          <w:szCs w:val="24"/>
        </w:rPr>
        <w:t xml:space="preserve"> tumorală (SLT)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 consideră că pacienţii cu încărcătură tumorală mare şi/sau cu </w:t>
      </w:r>
      <w:proofErr w:type="gramStart"/>
      <w:r w:rsidRPr="007733CF">
        <w:rPr>
          <w:rFonts w:ascii="Arial" w:hAnsi="Arial" w:cs="Arial"/>
          <w:sz w:val="24"/>
          <w:szCs w:val="24"/>
        </w:rPr>
        <w:t>un</w:t>
      </w:r>
      <w:proofErr w:type="gramEnd"/>
      <w:r w:rsidRPr="007733CF">
        <w:rPr>
          <w:rFonts w:ascii="Arial" w:hAnsi="Arial" w:cs="Arial"/>
          <w:sz w:val="24"/>
          <w:szCs w:val="24"/>
        </w:rPr>
        <w:t xml:space="preserve"> număr mare de limfocite circulante (&gt; 25 x 10 9/l) şi/sau insuficienţă renală (Cl</w:t>
      </w:r>
      <w:r w:rsidRPr="007733CF">
        <w:rPr>
          <w:rFonts w:ascii="Arial" w:hAnsi="Arial" w:cs="Arial"/>
          <w:sz w:val="24"/>
          <w:szCs w:val="24"/>
          <w:vertAlign w:val="subscript"/>
        </w:rPr>
        <w:t>cr</w:t>
      </w:r>
      <w:r w:rsidRPr="007733CF">
        <w:rPr>
          <w:rFonts w:ascii="Arial" w:hAnsi="Arial" w:cs="Arial"/>
          <w:sz w:val="24"/>
          <w:szCs w:val="24"/>
        </w:rPr>
        <w:t xml:space="preserve"> &lt; 70 ml/min) au risc de SLT şi trebuie să primească tratament profilactic.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Profilaxia: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hidratare</w:t>
      </w:r>
      <w:proofErr w:type="gramEnd"/>
      <w:r w:rsidRPr="007733CF">
        <w:rPr>
          <w:rFonts w:ascii="Arial" w:hAnsi="Arial" w:cs="Arial"/>
          <w:sz w:val="24"/>
          <w:szCs w:val="24"/>
        </w:rPr>
        <w:t xml:space="preserve"> corespunzătoare;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uricostatice</w:t>
      </w:r>
      <w:proofErr w:type="gramEnd"/>
      <w:r w:rsidRPr="007733CF">
        <w:rPr>
          <w:rFonts w:ascii="Arial" w:hAnsi="Arial" w:cs="Arial"/>
          <w:sz w:val="24"/>
          <w:szCs w:val="24"/>
        </w:rPr>
        <w:t xml:space="preserve"> (de exemplu, alopurinol); sau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uratoxidază</w:t>
      </w:r>
      <w:proofErr w:type="gramEnd"/>
      <w:r w:rsidRPr="007733CF">
        <w:rPr>
          <w:rFonts w:ascii="Arial" w:hAnsi="Arial" w:cs="Arial"/>
          <w:sz w:val="24"/>
          <w:szCs w:val="24"/>
        </w:rPr>
        <w:t xml:space="preserve"> (de exemplu, rasburicază începând cu 12 - 24 de ore înainte de iniţierea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Profilaxia şi premedicaţia în cazul apariţiei reacţiilor legate de administrarea perfuziei (RAP)</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Ziua 1, ciclul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corticosteroizi</w:t>
      </w:r>
      <w:proofErr w:type="gramEnd"/>
      <w:r w:rsidRPr="007733CF">
        <w:rPr>
          <w:rFonts w:ascii="Arial" w:hAnsi="Arial" w:cs="Arial"/>
          <w:sz w:val="24"/>
          <w:szCs w:val="24"/>
        </w:rPr>
        <w:t xml:space="preserve"> i.v: recomandat la pacienţii cu LF şi obligatoriu pentru pacienţii cu LLC - cu o oră înainte de obinutuzumab (100 mg prednison/prednisolon sau 20 mg dexametazonă sau 80 mg metilprednisolon);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analgezic/antipiretic oral - cu minimum 30 de minute înainte de obinutuzumab (1.000 mg acetaminofen/paracetamol);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antihistaminic</w:t>
      </w:r>
      <w:proofErr w:type="gramEnd"/>
      <w:r w:rsidRPr="007733CF">
        <w:rPr>
          <w:rFonts w:ascii="Arial" w:hAnsi="Arial" w:cs="Arial"/>
          <w:sz w:val="24"/>
          <w:szCs w:val="24"/>
        </w:rPr>
        <w:t xml:space="preserve"> - cu 30 de minute înainte de obinutuzumab (50 mg difenhidramină).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2, ciclul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corticosteroizi i.v. - cu o oră înainte de obinutuzumab (100 mg prednison/prednisolon sau 20 mg dexametazonă sau 80 mg metilprednisolon);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analgezic/antipiretic oral - cu 30 de minute înainte (1.000 mg acetaminofen/paracetamol);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antihistaminic</w:t>
      </w:r>
      <w:proofErr w:type="gramEnd"/>
      <w:r w:rsidRPr="007733CF">
        <w:rPr>
          <w:rFonts w:ascii="Arial" w:hAnsi="Arial" w:cs="Arial"/>
          <w:sz w:val="24"/>
          <w:szCs w:val="24"/>
        </w:rPr>
        <w:t xml:space="preserve"> - cu 30 de minute înainte (50 mg difenhidramină);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se</w:t>
      </w:r>
      <w:proofErr w:type="gramEnd"/>
      <w:r w:rsidRPr="007733CF">
        <w:rPr>
          <w:rFonts w:ascii="Arial" w:hAnsi="Arial" w:cs="Arial"/>
          <w:sz w:val="24"/>
          <w:szCs w:val="24"/>
        </w:rPr>
        <w:t xml:space="preserv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Înainte de iniţierea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hemoleucogramă</w:t>
      </w:r>
      <w:proofErr w:type="gramEnd"/>
      <w:r w:rsidRPr="007733CF">
        <w:rPr>
          <w:rFonts w:ascii="Arial" w:hAnsi="Arial" w:cs="Arial"/>
          <w:sz w:val="24"/>
          <w:szCs w:val="24"/>
        </w:rPr>
        <w:t xml:space="preserve"> cu formulă leucocitară;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biochimie</w:t>
      </w:r>
      <w:proofErr w:type="gramEnd"/>
      <w:r w:rsidRPr="007733CF">
        <w:rPr>
          <w:rFonts w:ascii="Arial" w:hAnsi="Arial" w:cs="Arial"/>
          <w:sz w:val="24"/>
          <w:szCs w:val="24"/>
        </w:rPr>
        <w:t>: funcţia renală (creatinină, uree), valorile serice ale potasiului seric (ionograma) şi acidului uric, transaminaze (TGO, TGP), fosfataza alcalină;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evaluare</w:t>
      </w:r>
      <w:proofErr w:type="gramEnd"/>
      <w:r w:rsidRPr="007733CF">
        <w:rPr>
          <w:rFonts w:ascii="Arial" w:hAnsi="Arial" w:cs="Arial"/>
          <w:sz w:val="24"/>
          <w:szCs w:val="24"/>
        </w:rPr>
        <w:t xml:space="preserve"> cardiologică (EKG, ecocardiografie);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evaluare</w:t>
      </w:r>
      <w:proofErr w:type="gramEnd"/>
      <w:r w:rsidRPr="007733CF">
        <w:rPr>
          <w:rFonts w:ascii="Arial" w:hAnsi="Arial" w:cs="Arial"/>
          <w:sz w:val="24"/>
          <w:szCs w:val="24"/>
        </w:rPr>
        <w:t xml:space="preserve"> imagistică (CT toraco-abdomino-pelvin).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Periodic: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hemoleucograma</w:t>
      </w:r>
      <w:proofErr w:type="gramEnd"/>
      <w:r w:rsidRPr="007733CF">
        <w:rPr>
          <w:rFonts w:ascii="Arial" w:hAnsi="Arial" w:cs="Arial"/>
          <w:sz w:val="24"/>
          <w:szCs w:val="24"/>
        </w:rPr>
        <w:t xml:space="preserve"> cu formulă leucocitară;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biochimie</w:t>
      </w:r>
      <w:proofErr w:type="gramEnd"/>
      <w:r w:rsidRPr="007733CF">
        <w:rPr>
          <w:rFonts w:ascii="Arial" w:hAnsi="Arial" w:cs="Arial"/>
          <w:sz w:val="24"/>
          <w:szCs w:val="24"/>
        </w:rPr>
        <w:t>: funcţie renală (creatinină, uree, acid uric), transaminaze (TGO, TGP), fosfataza alcalină, ionogramă: potasiu seric;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reevaluare</w:t>
      </w:r>
      <w:proofErr w:type="gramEnd"/>
      <w:r w:rsidRPr="007733CF">
        <w:rPr>
          <w:rFonts w:ascii="Arial" w:hAnsi="Arial" w:cs="Arial"/>
          <w:sz w:val="24"/>
          <w:szCs w:val="24"/>
        </w:rPr>
        <w:t xml:space="preserve"> cardiologică (EKG, ecocardiografie);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evaluare</w:t>
      </w:r>
      <w:proofErr w:type="gramEnd"/>
      <w:r w:rsidRPr="007733CF">
        <w:rPr>
          <w:rFonts w:ascii="Arial" w:hAnsi="Arial" w:cs="Arial"/>
          <w:sz w:val="24"/>
          <w:szCs w:val="24"/>
        </w:rPr>
        <w:t xml:space="preserve"> imagistică (CT toraco-abdomino-pelvin).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sz w:val="24"/>
          <w:szCs w:val="24"/>
        </w:rPr>
        <w:t xml:space="preserve">    </w:t>
      </w:r>
      <w:r w:rsidRPr="007733CF">
        <w:rPr>
          <w:rFonts w:ascii="Arial" w:hAnsi="Arial" w:cs="Arial"/>
          <w:b/>
          <w:bCs/>
          <w:sz w:val="24"/>
          <w:szCs w:val="24"/>
        </w:rPr>
        <w:t>VI. Criterii pentru întreruperea tratamentului cu obinutuzumab: lipsa de răspuns sau intoleranţa.</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t xml:space="preserve">    VII. Prescriptori: iniţierea şi continuarea tratamentului se fac de către medicii din specialitatea hematologie clinică."</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F021D9"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t xml:space="preserve">    </w:t>
      </w:r>
    </w:p>
    <w:p w:rsidR="00F021D9" w:rsidRDefault="00F021D9">
      <w:pPr>
        <w:rPr>
          <w:rFonts w:ascii="Arial" w:hAnsi="Arial" w:cs="Arial"/>
          <w:b/>
          <w:bCs/>
          <w:sz w:val="24"/>
          <w:szCs w:val="24"/>
        </w:rPr>
      </w:pPr>
      <w:r>
        <w:rPr>
          <w:rFonts w:ascii="Arial" w:hAnsi="Arial" w:cs="Arial"/>
          <w:b/>
          <w:bCs/>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 xml:space="preserve">4. Protocolul terapeutic corespunzător poziţiei nr. 233 cod (B06AC02): DCI ICATIBANTUM se modifică şi </w:t>
      </w:r>
      <w:proofErr w:type="gramStart"/>
      <w:r w:rsidRPr="007733CF">
        <w:rPr>
          <w:rFonts w:ascii="Arial" w:hAnsi="Arial" w:cs="Arial"/>
          <w:b/>
          <w:bCs/>
          <w:sz w:val="24"/>
          <w:szCs w:val="24"/>
        </w:rPr>
        <w:t>va</w:t>
      </w:r>
      <w:proofErr w:type="gramEnd"/>
      <w:r w:rsidRPr="007733CF">
        <w:rPr>
          <w:rFonts w:ascii="Arial" w:hAnsi="Arial" w:cs="Arial"/>
          <w:b/>
          <w:bCs/>
          <w:sz w:val="24"/>
          <w:szCs w:val="24"/>
        </w:rPr>
        <w:t xml:space="preserve">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ICATIBANTUM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Definiţie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Angioedemul ereditar (AEE) </w:t>
      </w:r>
      <w:proofErr w:type="gramStart"/>
      <w:r w:rsidRPr="007733CF">
        <w:rPr>
          <w:rFonts w:ascii="Arial" w:hAnsi="Arial" w:cs="Arial"/>
          <w:sz w:val="24"/>
          <w:szCs w:val="24"/>
        </w:rPr>
        <w:t>este</w:t>
      </w:r>
      <w:proofErr w:type="gramEnd"/>
      <w:r w:rsidRPr="007733CF">
        <w:rPr>
          <w:rFonts w:ascii="Arial" w:hAnsi="Arial" w:cs="Arial"/>
          <w:sz w:val="24"/>
          <w:szCs w:val="24"/>
        </w:rPr>
        <w:t xml:space="preserve"> o boală genetică, rară, debilitantă şi cu potenţial letal. </w:t>
      </w:r>
      <w:proofErr w:type="gramStart"/>
      <w:r w:rsidRPr="007733CF">
        <w:rPr>
          <w:rFonts w:ascii="Arial" w:hAnsi="Arial" w:cs="Arial"/>
          <w:sz w:val="24"/>
          <w:szCs w:val="24"/>
        </w:rPr>
        <w:t>Este cauzat, în majoritatea cazurilor, de deficienţa de C1-inhibitor esterază (C1-INH).</w:t>
      </w:r>
      <w:proofErr w:type="gramEnd"/>
      <w:r w:rsidRPr="007733CF">
        <w:rPr>
          <w:rFonts w:ascii="Arial" w:hAnsi="Arial" w:cs="Arial"/>
          <w:sz w:val="24"/>
          <w:szCs w:val="24"/>
        </w:rPr>
        <w:t xml:space="preserve"> </w:t>
      </w:r>
      <w:proofErr w:type="gramStart"/>
      <w:r w:rsidRPr="007733CF">
        <w:rPr>
          <w:rFonts w:ascii="Arial" w:hAnsi="Arial" w:cs="Arial"/>
          <w:sz w:val="24"/>
          <w:szCs w:val="24"/>
        </w:rPr>
        <w:t>Clinic, AEE se manifestă prin episoade recurente de edem subcutanat dureros localizat, atacuri dureroase abdominale recurente şi obstrucţie a căilor respiratorii superioare.</w:t>
      </w:r>
      <w:proofErr w:type="gramEnd"/>
      <w:r w:rsidRPr="007733CF">
        <w:rPr>
          <w:rFonts w:ascii="Arial" w:hAnsi="Arial" w:cs="Arial"/>
          <w:sz w:val="24"/>
          <w:szCs w:val="24"/>
        </w:rPr>
        <w:t xml:space="preserve"> </w:t>
      </w:r>
      <w:proofErr w:type="gramStart"/>
      <w:r w:rsidRPr="007733CF">
        <w:rPr>
          <w:rFonts w:ascii="Arial" w:hAnsi="Arial" w:cs="Arial"/>
          <w:sz w:val="24"/>
          <w:szCs w:val="24"/>
        </w:rPr>
        <w:t>Atacurile recurente dureroase abdominale mimează abdomenul acut chirurgical.</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Edemul facial se complică în 30% din cazuri cu edem al căilor respiratorii superioare şi risc de asfixiere prin edem laringian.</w:t>
      </w:r>
      <w:proofErr w:type="gramEnd"/>
      <w:r w:rsidRPr="007733CF">
        <w:rPr>
          <w:rFonts w:ascii="Arial" w:hAnsi="Arial" w:cs="Arial"/>
          <w:sz w:val="24"/>
          <w:szCs w:val="24"/>
        </w:rPr>
        <w:t xml:space="preserve"> Mortalitatea pacienţilor netrataţi cu AEE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aproximativ 30%.</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Între atacuri pacientul </w:t>
      </w:r>
      <w:proofErr w:type="gramStart"/>
      <w:r w:rsidRPr="007733CF">
        <w:rPr>
          <w:rFonts w:ascii="Arial" w:hAnsi="Arial" w:cs="Arial"/>
          <w:sz w:val="24"/>
          <w:szCs w:val="24"/>
        </w:rPr>
        <w:t>este</w:t>
      </w:r>
      <w:proofErr w:type="gramEnd"/>
      <w:r w:rsidRPr="007733CF">
        <w:rPr>
          <w:rFonts w:ascii="Arial" w:hAnsi="Arial" w:cs="Arial"/>
          <w:sz w:val="24"/>
          <w:szCs w:val="24"/>
        </w:rPr>
        <w:t xml:space="preserve"> asimptomatic. Numărul atacurilor poate varia de la </w:t>
      </w:r>
      <w:proofErr w:type="gramStart"/>
      <w:r w:rsidRPr="007733CF">
        <w:rPr>
          <w:rFonts w:ascii="Arial" w:hAnsi="Arial" w:cs="Arial"/>
          <w:sz w:val="24"/>
          <w:szCs w:val="24"/>
        </w:rPr>
        <w:t>un</w:t>
      </w:r>
      <w:proofErr w:type="gramEnd"/>
      <w:r w:rsidRPr="007733CF">
        <w:rPr>
          <w:rFonts w:ascii="Arial" w:hAnsi="Arial" w:cs="Arial"/>
          <w:sz w:val="24"/>
          <w:szCs w:val="24"/>
        </w:rPr>
        <w:t xml:space="preserve"> atac pe an la 2 - 3 atacuri pe lună. Durata atacurilor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2 - 5 zile. Calitatea vieţii acestor pacienţi </w:t>
      </w:r>
      <w:proofErr w:type="gramStart"/>
      <w:r w:rsidRPr="007733CF">
        <w:rPr>
          <w:rFonts w:ascii="Arial" w:hAnsi="Arial" w:cs="Arial"/>
          <w:sz w:val="24"/>
          <w:szCs w:val="24"/>
        </w:rPr>
        <w:t>este</w:t>
      </w:r>
      <w:proofErr w:type="gramEnd"/>
      <w:r w:rsidRPr="007733CF">
        <w:rPr>
          <w:rFonts w:ascii="Arial" w:hAnsi="Arial" w:cs="Arial"/>
          <w:sz w:val="24"/>
          <w:szCs w:val="24"/>
        </w:rPr>
        <w:t xml:space="preserve"> profund alterată.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Diagnostic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Diagnosticul de AEE se suspicionează pe baza anamnezei familiale (pozitivă în 75% din cazuri, 25% fiind mutaţii spontane), a simptomelor caracteristice bolii şi </w:t>
      </w:r>
      <w:proofErr w:type="gramStart"/>
      <w:r w:rsidRPr="007733CF">
        <w:rPr>
          <w:rFonts w:ascii="Arial" w:hAnsi="Arial" w:cs="Arial"/>
          <w:sz w:val="24"/>
          <w:szCs w:val="24"/>
        </w:rPr>
        <w:t>este</w:t>
      </w:r>
      <w:proofErr w:type="gramEnd"/>
      <w:r w:rsidRPr="007733CF">
        <w:rPr>
          <w:rFonts w:ascii="Arial" w:hAnsi="Arial" w:cs="Arial"/>
          <w:sz w:val="24"/>
          <w:szCs w:val="24"/>
        </w:rPr>
        <w:t xml:space="preserve"> confirmat prin examenul de laborator.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Diagnosticul tipului 1 şi 2 de AEE se stabileşte prin valori scăzute sub 50% faţă de valoarea minimă a normalului a C1-INH activitate. În AEE de tip 1 C1-INH proteina </w:t>
      </w:r>
      <w:proofErr w:type="gramStart"/>
      <w:r w:rsidRPr="007733CF">
        <w:rPr>
          <w:rFonts w:ascii="Arial" w:hAnsi="Arial" w:cs="Arial"/>
          <w:sz w:val="24"/>
          <w:szCs w:val="24"/>
        </w:rPr>
        <w:t>este</w:t>
      </w:r>
      <w:proofErr w:type="gramEnd"/>
      <w:r w:rsidRPr="007733CF">
        <w:rPr>
          <w:rFonts w:ascii="Arial" w:hAnsi="Arial" w:cs="Arial"/>
          <w:sz w:val="24"/>
          <w:szCs w:val="24"/>
        </w:rPr>
        <w:t xml:space="preserve"> scăzută, iar în tipul 2 este normală sau crescută. </w:t>
      </w:r>
      <w:proofErr w:type="gramStart"/>
      <w:r w:rsidRPr="007733CF">
        <w:rPr>
          <w:rFonts w:ascii="Arial" w:hAnsi="Arial" w:cs="Arial"/>
          <w:sz w:val="24"/>
          <w:szCs w:val="24"/>
        </w:rPr>
        <w:t>Nu există diferenţe de manifestare clinică între cele două tipuri.</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Indicaţii terapeutice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Icatibant </w:t>
      </w:r>
      <w:proofErr w:type="gramStart"/>
      <w:r w:rsidRPr="007733CF">
        <w:rPr>
          <w:rFonts w:ascii="Arial" w:hAnsi="Arial" w:cs="Arial"/>
          <w:sz w:val="24"/>
          <w:szCs w:val="24"/>
        </w:rPr>
        <w:t>este</w:t>
      </w:r>
      <w:proofErr w:type="gramEnd"/>
      <w:r w:rsidRPr="007733CF">
        <w:rPr>
          <w:rFonts w:ascii="Arial" w:hAnsi="Arial" w:cs="Arial"/>
          <w:sz w:val="24"/>
          <w:szCs w:val="24"/>
        </w:rPr>
        <w:t xml:space="preserve"> un antagonist de receptor de bradikinină B2 indicat pentru tratamentul atacului de angioedem ereditar (AAE) prin deficienţa de C1-inhibitor esterază (C1-INH) la pacienţii cu vârsta de 2 ani şi peste.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programul naţional de tratament cu icatibant al atacurilor de AEE se vor include pacienţii cu vârsta &gt; 2 ani cu diagnosticul confirmat de AEE cu deficienţă de C1-INH de către Centrul de Expertiză/Pilot de AEE şi înregistraţi la Centrul de Expertiză/Pilot de AEE. Scrisoarea medicală eliberată de acesta </w:t>
      </w:r>
      <w:proofErr w:type="gramStart"/>
      <w:r w:rsidRPr="007733CF">
        <w:rPr>
          <w:rFonts w:ascii="Arial" w:hAnsi="Arial" w:cs="Arial"/>
          <w:sz w:val="24"/>
          <w:szCs w:val="24"/>
        </w:rPr>
        <w:t>va</w:t>
      </w:r>
      <w:proofErr w:type="gramEnd"/>
      <w:r w:rsidRPr="007733CF">
        <w:rPr>
          <w:rFonts w:ascii="Arial" w:hAnsi="Arial" w:cs="Arial"/>
          <w:sz w:val="24"/>
          <w:szCs w:val="24"/>
        </w:rPr>
        <w:t xml:space="preserve"> fi înnoită anual, cu ocazia vizitei anuale obligatorii.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Nu beneficiază de tratament cu icatibant pacienţii cu hipersensibilitate la substanţa activă sau excipienţii produsului.</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Se recomandă precauţie la pacienţii cu boală cardiacă ischemică acută şi accident vascular cerebral recent.</w:t>
      </w:r>
      <w:proofErr w:type="gramEnd"/>
      <w:r w:rsidRPr="007733CF">
        <w:rPr>
          <w:rFonts w:ascii="Arial" w:hAnsi="Arial" w:cs="Arial"/>
          <w:sz w:val="24"/>
          <w:szCs w:val="24"/>
        </w:rPr>
        <w:t xml:space="preserve"> Nu există date clinice disponibile privind utilizarea icatibant la gravide şi lăuze. </w:t>
      </w:r>
      <w:proofErr w:type="gramStart"/>
      <w:r w:rsidRPr="007733CF">
        <w:rPr>
          <w:rFonts w:ascii="Arial" w:hAnsi="Arial" w:cs="Arial"/>
          <w:sz w:val="24"/>
          <w:szCs w:val="24"/>
        </w:rPr>
        <w:t xml:space="preserve">În timpul sarcinii icatibant trebuie utilizat doar dacă beneficiul potenţial </w:t>
      </w:r>
      <w:r w:rsidRPr="007733CF">
        <w:rPr>
          <w:rFonts w:ascii="Arial" w:hAnsi="Arial" w:cs="Arial"/>
          <w:sz w:val="24"/>
          <w:szCs w:val="24"/>
        </w:rPr>
        <w:lastRenderedPageBreak/>
        <w:t>justifică riscul potenţial pentru făt (de exemplu, pentru tratamentul edemului laringian cu potenţial letal), în absenţa disponibilităţii concentratului de C1-INH.</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Nu se cunoaşte dacă icatibant se excretă în laptele matern, dar femeilor care alăptează şi doresc </w:t>
      </w:r>
      <w:proofErr w:type="gramStart"/>
      <w:r w:rsidRPr="007733CF">
        <w:rPr>
          <w:rFonts w:ascii="Arial" w:hAnsi="Arial" w:cs="Arial"/>
          <w:sz w:val="24"/>
          <w:szCs w:val="24"/>
        </w:rPr>
        <w:t>să</w:t>
      </w:r>
      <w:proofErr w:type="gramEnd"/>
      <w:r w:rsidRPr="007733CF">
        <w:rPr>
          <w:rFonts w:ascii="Arial" w:hAnsi="Arial" w:cs="Arial"/>
          <w:sz w:val="24"/>
          <w:szCs w:val="24"/>
        </w:rPr>
        <w:t xml:space="preserve"> utilizeze icatibant li se recomandă să nu alăpteze 12 ore după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rarele cazuri în care răspunsul la icatibant nu </w:t>
      </w:r>
      <w:proofErr w:type="gramStart"/>
      <w:r w:rsidRPr="007733CF">
        <w:rPr>
          <w:rFonts w:ascii="Arial" w:hAnsi="Arial" w:cs="Arial"/>
          <w:sz w:val="24"/>
          <w:szCs w:val="24"/>
        </w:rPr>
        <w:t>este</w:t>
      </w:r>
      <w:proofErr w:type="gramEnd"/>
      <w:r w:rsidRPr="007733CF">
        <w:rPr>
          <w:rFonts w:ascii="Arial" w:hAnsi="Arial" w:cs="Arial"/>
          <w:sz w:val="24"/>
          <w:szCs w:val="24"/>
        </w:rPr>
        <w:t xml:space="preserve"> satisfăcător şi necesită repetarea exagerată a dozelor, este necesară revizuirea indicaţiei.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Icatibant se administrează subcutanat, de preferinţă în zona abdominală.</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Icatibant poate fi autoadministrat sau administrat de către persoana care asigură îngrijirea pacientului, după instruirea prealabilă de către medic sau asistent medical.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 recomandă ca prima administrare şi prima autoadministrare </w:t>
      </w:r>
      <w:proofErr w:type="gramStart"/>
      <w:r w:rsidRPr="007733CF">
        <w:rPr>
          <w:rFonts w:ascii="Arial" w:hAnsi="Arial" w:cs="Arial"/>
          <w:sz w:val="24"/>
          <w:szCs w:val="24"/>
        </w:rPr>
        <w:t>să</w:t>
      </w:r>
      <w:proofErr w:type="gramEnd"/>
      <w:r w:rsidRPr="007733CF">
        <w:rPr>
          <w:rFonts w:ascii="Arial" w:hAnsi="Arial" w:cs="Arial"/>
          <w:sz w:val="24"/>
          <w:szCs w:val="24"/>
        </w:rPr>
        <w:t xml:space="preserve"> fie efectuată sub supraveghere medicală.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Pacientul </w:t>
      </w:r>
      <w:proofErr w:type="gramStart"/>
      <w:r w:rsidRPr="007733CF">
        <w:rPr>
          <w:rFonts w:ascii="Arial" w:hAnsi="Arial" w:cs="Arial"/>
          <w:sz w:val="24"/>
          <w:szCs w:val="24"/>
        </w:rPr>
        <w:t>va</w:t>
      </w:r>
      <w:proofErr w:type="gramEnd"/>
      <w:r w:rsidRPr="007733CF">
        <w:rPr>
          <w:rFonts w:ascii="Arial" w:hAnsi="Arial" w:cs="Arial"/>
          <w:sz w:val="24"/>
          <w:szCs w:val="24"/>
        </w:rPr>
        <w:t xml:space="preserve"> fi instruit cu privire la păstrarea corectă a medicamentului (între 2 şi 25°C).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Adulţi: doza recomandată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30 mg icatibant administrat lent subcutanat (o seringă preumplută).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majoritatea cazurilor, o singură injecţie cu icatibant </w:t>
      </w:r>
      <w:proofErr w:type="gramStart"/>
      <w:r w:rsidRPr="007733CF">
        <w:rPr>
          <w:rFonts w:ascii="Arial" w:hAnsi="Arial" w:cs="Arial"/>
          <w:sz w:val="24"/>
          <w:szCs w:val="24"/>
        </w:rPr>
        <w:t>este</w:t>
      </w:r>
      <w:proofErr w:type="gramEnd"/>
      <w:r w:rsidRPr="007733CF">
        <w:rPr>
          <w:rFonts w:ascii="Arial" w:hAnsi="Arial" w:cs="Arial"/>
          <w:sz w:val="24"/>
          <w:szCs w:val="24"/>
        </w:rPr>
        <w:t xml:space="preserve"> suficientă pentru tratamentul unei crize de angioedem ereditar. În cazul în care nu se obţine o ameliorare suficientă sau dacă simptomele reapar, se poate administra o a doua injecţie cu icatibant după 6 ore. Dacă cea de-a doua injecţie nu produce o ameliorare suficientă sau se observă o revenire a simptomelor, poate fi administrată o a treia injecţie de icatibant, după un alt interval de 6 ore. În decursul a 24 de ore nu </w:t>
      </w:r>
      <w:proofErr w:type="gramStart"/>
      <w:r w:rsidRPr="007733CF">
        <w:rPr>
          <w:rFonts w:ascii="Arial" w:hAnsi="Arial" w:cs="Arial"/>
          <w:sz w:val="24"/>
          <w:szCs w:val="24"/>
        </w:rPr>
        <w:t>este</w:t>
      </w:r>
      <w:proofErr w:type="gramEnd"/>
      <w:r w:rsidRPr="007733CF">
        <w:rPr>
          <w:rFonts w:ascii="Arial" w:hAnsi="Arial" w:cs="Arial"/>
          <w:sz w:val="24"/>
          <w:szCs w:val="24"/>
        </w:rPr>
        <w:t xml:space="preserve"> recomandat să se administreze mai mult de 3 injecţii cu icatibant.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Copii şi adolescenţi: doza recomandată </w:t>
      </w:r>
      <w:proofErr w:type="gramStart"/>
      <w:r w:rsidRPr="007733CF">
        <w:rPr>
          <w:rFonts w:ascii="Arial" w:hAnsi="Arial" w:cs="Arial"/>
          <w:sz w:val="24"/>
          <w:szCs w:val="24"/>
        </w:rPr>
        <w:t>este</w:t>
      </w:r>
      <w:proofErr w:type="gramEnd"/>
      <w:r w:rsidRPr="007733CF">
        <w:rPr>
          <w:rFonts w:ascii="Arial" w:hAnsi="Arial" w:cs="Arial"/>
          <w:sz w:val="24"/>
          <w:szCs w:val="24"/>
        </w:rPr>
        <w:t xml:space="preserve"> în funcţie de greutatea corporală, după cum urmează: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12 - 25 kg     |    10 mg (1</w:t>
      </w:r>
      <w:proofErr w:type="gramStart"/>
      <w:r w:rsidRPr="0095354D">
        <w:rPr>
          <w:rFonts w:ascii="Courier New" w:hAnsi="Courier New" w:cs="Courier New"/>
          <w:sz w:val="24"/>
          <w:szCs w:val="24"/>
        </w:rPr>
        <w:t>,0</w:t>
      </w:r>
      <w:proofErr w:type="gramEnd"/>
      <w:r w:rsidRPr="0095354D">
        <w:rPr>
          <w:rFonts w:ascii="Courier New" w:hAnsi="Courier New" w:cs="Courier New"/>
          <w:sz w:val="24"/>
          <w:szCs w:val="24"/>
        </w:rPr>
        <w:t xml:space="preserve">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26 - 40 kg     |    15 mg (1</w:t>
      </w:r>
      <w:proofErr w:type="gramStart"/>
      <w:r w:rsidRPr="0095354D">
        <w:rPr>
          <w:rFonts w:ascii="Courier New" w:hAnsi="Courier New" w:cs="Courier New"/>
          <w:sz w:val="24"/>
          <w:szCs w:val="24"/>
        </w:rPr>
        <w:t>,5</w:t>
      </w:r>
      <w:proofErr w:type="gramEnd"/>
      <w:r w:rsidRPr="0095354D">
        <w:rPr>
          <w:rFonts w:ascii="Courier New" w:hAnsi="Courier New" w:cs="Courier New"/>
          <w:sz w:val="24"/>
          <w:szCs w:val="24"/>
        </w:rPr>
        <w:t xml:space="preserve">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41 - 50 kg     |    20 mg (2</w:t>
      </w:r>
      <w:proofErr w:type="gramStart"/>
      <w:r w:rsidRPr="0095354D">
        <w:rPr>
          <w:rFonts w:ascii="Courier New" w:hAnsi="Courier New" w:cs="Courier New"/>
          <w:sz w:val="24"/>
          <w:szCs w:val="24"/>
        </w:rPr>
        <w:t>,0</w:t>
      </w:r>
      <w:proofErr w:type="gramEnd"/>
      <w:r w:rsidRPr="0095354D">
        <w:rPr>
          <w:rFonts w:ascii="Courier New" w:hAnsi="Courier New" w:cs="Courier New"/>
          <w:sz w:val="24"/>
          <w:szCs w:val="24"/>
        </w:rPr>
        <w:t xml:space="preserve">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51 - 65 kg     |    25 mg (2</w:t>
      </w:r>
      <w:proofErr w:type="gramStart"/>
      <w:r w:rsidRPr="0095354D">
        <w:rPr>
          <w:rFonts w:ascii="Courier New" w:hAnsi="Courier New" w:cs="Courier New"/>
          <w:sz w:val="24"/>
          <w:szCs w:val="24"/>
        </w:rPr>
        <w:t>,5</w:t>
      </w:r>
      <w:proofErr w:type="gramEnd"/>
      <w:r w:rsidRPr="0095354D">
        <w:rPr>
          <w:rFonts w:ascii="Courier New" w:hAnsi="Courier New" w:cs="Courier New"/>
          <w:sz w:val="24"/>
          <w:szCs w:val="24"/>
        </w:rPr>
        <w:t xml:space="preserve">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Peste 65 kg    |    30 mg (3</w:t>
      </w:r>
      <w:proofErr w:type="gramStart"/>
      <w:r w:rsidRPr="0095354D">
        <w:rPr>
          <w:rFonts w:ascii="Courier New" w:hAnsi="Courier New" w:cs="Courier New"/>
          <w:sz w:val="24"/>
          <w:szCs w:val="24"/>
        </w:rPr>
        <w:t>,0</w:t>
      </w:r>
      <w:proofErr w:type="gramEnd"/>
      <w:r w:rsidRPr="0095354D">
        <w:rPr>
          <w:rFonts w:ascii="Courier New" w:hAnsi="Courier New" w:cs="Courier New"/>
          <w:sz w:val="24"/>
          <w:szCs w:val="24"/>
        </w:rPr>
        <w:t xml:space="preserve">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copil nu se administrează doza/atac.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VIII.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O dată pe an, tratamentul fiecărui pacient </w:t>
      </w:r>
      <w:proofErr w:type="gramStart"/>
      <w:r w:rsidRPr="007733CF">
        <w:rPr>
          <w:rFonts w:ascii="Arial" w:hAnsi="Arial" w:cs="Arial"/>
          <w:sz w:val="24"/>
          <w:szCs w:val="24"/>
        </w:rPr>
        <w:t>va</w:t>
      </w:r>
      <w:proofErr w:type="gramEnd"/>
      <w:r w:rsidRPr="007733CF">
        <w:rPr>
          <w:rFonts w:ascii="Arial" w:hAnsi="Arial" w:cs="Arial"/>
          <w:sz w:val="24"/>
          <w:szCs w:val="24"/>
        </w:rPr>
        <w:t xml:space="preserve"> fi vizat de Centrul de Expertiză/Pilot de AEE, prin evaluarea jurnalului pacientului, eliberat de acesta.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În caz de edem de </w:t>
      </w:r>
      <w:proofErr w:type="gramStart"/>
      <w:r w:rsidRPr="007733CF">
        <w:rPr>
          <w:rFonts w:ascii="Arial" w:hAnsi="Arial" w:cs="Arial"/>
          <w:sz w:val="24"/>
          <w:szCs w:val="24"/>
        </w:rPr>
        <w:t>căi</w:t>
      </w:r>
      <w:proofErr w:type="gramEnd"/>
      <w:r w:rsidRPr="007733CF">
        <w:rPr>
          <w:rFonts w:ascii="Arial" w:hAnsi="Arial" w:cs="Arial"/>
          <w:sz w:val="24"/>
          <w:szCs w:val="24"/>
        </w:rPr>
        <w:t xml:space="preserve"> respiratorii superioare (laringian) pacientul necesită supraveghere medicală atentă într-un serviciu de urgenţă timp de 24 de ore datorită impredictibilităţii evoluţiei severităţii obstrucţiei.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Intubarea traheală, traheotomia şi alte tratamente eficace în atacul de AEE (C1-INH esterază umană, recombinantă sau plasmă proaspăt congelată) se </w:t>
      </w:r>
      <w:proofErr w:type="gramStart"/>
      <w:r w:rsidRPr="007733CF">
        <w:rPr>
          <w:rFonts w:ascii="Arial" w:hAnsi="Arial" w:cs="Arial"/>
          <w:sz w:val="24"/>
          <w:szCs w:val="24"/>
        </w:rPr>
        <w:t>iau</w:t>
      </w:r>
      <w:proofErr w:type="gramEnd"/>
      <w:r w:rsidRPr="007733CF">
        <w:rPr>
          <w:rFonts w:ascii="Arial" w:hAnsi="Arial" w:cs="Arial"/>
          <w:sz w:val="24"/>
          <w:szCs w:val="24"/>
        </w:rPr>
        <w:t xml:space="preserve"> în considerare în cazul edemului progresiv al căilor aeriene superioare care nu răspunde la icatibant.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cazul în care simptomele nu se ameliorează suficient sau reapar după autoadministrarea injecţiei, se recomandă ca pacientul </w:t>
      </w:r>
      <w:proofErr w:type="gramStart"/>
      <w:r w:rsidRPr="007733CF">
        <w:rPr>
          <w:rFonts w:ascii="Arial" w:hAnsi="Arial" w:cs="Arial"/>
          <w:sz w:val="24"/>
          <w:szCs w:val="24"/>
        </w:rPr>
        <w:t>să</w:t>
      </w:r>
      <w:proofErr w:type="gramEnd"/>
      <w:r w:rsidRPr="007733CF">
        <w:rPr>
          <w:rFonts w:ascii="Arial" w:hAnsi="Arial" w:cs="Arial"/>
          <w:sz w:val="24"/>
          <w:szCs w:val="24"/>
        </w:rPr>
        <w:t xml:space="preserve"> solicite sfatul medicului, iar dozele ulterioare să fie administrate într-o instituţie medicală.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IX. Prescriptori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Icatibant este prescris de medicii din specialităţile alergologie, dermatologie, pediatrie, medicină internă şi medicii de familie, numai pe baza scrisorii medicale de la Centrul de Expertiză/Pilot de AEE.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Iniţial, pacientului cu mai multe atacuri pe an i se vor prescrie 3 seringi de icatibant.</w:t>
      </w:r>
      <w:proofErr w:type="gramEnd"/>
      <w:r w:rsidRPr="007733CF">
        <w:rPr>
          <w:rFonts w:ascii="Arial" w:hAnsi="Arial" w:cs="Arial"/>
          <w:sz w:val="24"/>
          <w:szCs w:val="24"/>
        </w:rPr>
        <w:t xml:space="preserve"> </w:t>
      </w:r>
      <w:proofErr w:type="gramStart"/>
      <w:r w:rsidRPr="007733CF">
        <w:rPr>
          <w:rFonts w:ascii="Arial" w:hAnsi="Arial" w:cs="Arial"/>
          <w:sz w:val="24"/>
          <w:szCs w:val="24"/>
        </w:rPr>
        <w:t>Trebuie evitată prescrierea de 3 doze pacienţilor cu atacuri foarte rare, pentru a nu rămâne cu medicaţie neutilizată după termenul de expirare.</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Prescripţiile ulterioare se vor efectua individualizat prin dovedirea utilizării primelor două doze corespunzătoare fiecărei prescripţii şi numai după verificarea de către prescriptor a notării de către pacient în jurnalul propriu a datei şi orei administrării, localizării atacului şi lipirea etichetei medicaţiei înaintea fiecărei noi prescripţii."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 xml:space="preserve">5. Protocolul terapeutic corespunzător poziţiei nr. 253 cod (L01XE33): DCI PALBOCICLIBUM se modifică şi </w:t>
      </w:r>
      <w:proofErr w:type="gramStart"/>
      <w:r w:rsidRPr="007733CF">
        <w:rPr>
          <w:rFonts w:ascii="Arial" w:hAnsi="Arial" w:cs="Arial"/>
          <w:b/>
          <w:bCs/>
          <w:sz w:val="24"/>
          <w:szCs w:val="24"/>
        </w:rPr>
        <w:t>va</w:t>
      </w:r>
      <w:proofErr w:type="gramEnd"/>
      <w:r w:rsidRPr="007733CF">
        <w:rPr>
          <w:rFonts w:ascii="Arial" w:hAnsi="Arial" w:cs="Arial"/>
          <w:b/>
          <w:bCs/>
          <w:sz w:val="24"/>
          <w:szCs w:val="24"/>
        </w:rPr>
        <w:t xml:space="preserve">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PALBOCICLIB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Palbociclib este indicat în tratamentul cancerului mamar local avansat, recurent sau metastatic, în absenţa "crizei viscerale" simptomatice*) (determinări secundare viscerale, de obicei hepatice şi/sau pulmonare extensive, numeroase, care induc grade variate de insuficienţă de organ; determinările secundare viscerale pot fi localizate şi la nivelul altor organe) care pune în pericol prognosticul vital pe termen scurt, cu receptori hormonali pozitivi (estrogenici şi/sau progesteronici) şi expresie negativă pentru receptorul HER2-neu, în următoarele situaţii: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în</w:t>
      </w:r>
      <w:proofErr w:type="gramEnd"/>
      <w:r w:rsidRPr="007733CF">
        <w:rPr>
          <w:rFonts w:ascii="Arial" w:hAnsi="Arial" w:cs="Arial"/>
          <w:sz w:val="24"/>
          <w:szCs w:val="24"/>
        </w:rPr>
        <w:t xml:space="preserve"> asociere cu un inhibitor de aromatază;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în</w:t>
      </w:r>
      <w:proofErr w:type="gramEnd"/>
      <w:r w:rsidRPr="007733CF">
        <w:rPr>
          <w:rFonts w:ascii="Arial" w:hAnsi="Arial" w:cs="Arial"/>
          <w:sz w:val="24"/>
          <w:szCs w:val="24"/>
        </w:rPr>
        <w:t xml:space="preserve"> asociere cu fulvestrant la pacienţi cărora li s-a administrat tratament endocrin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femeile în pre- sau perimenopauză, tratamentul endocrin trebuie combinat cu </w:t>
      </w:r>
      <w:proofErr w:type="gramStart"/>
      <w:r w:rsidRPr="007733CF">
        <w:rPr>
          <w:rFonts w:ascii="Arial" w:hAnsi="Arial" w:cs="Arial"/>
          <w:sz w:val="24"/>
          <w:szCs w:val="24"/>
        </w:rPr>
        <w:t>un</w:t>
      </w:r>
      <w:proofErr w:type="gramEnd"/>
      <w:r w:rsidRPr="007733CF">
        <w:rPr>
          <w:rFonts w:ascii="Arial" w:hAnsi="Arial" w:cs="Arial"/>
          <w:sz w:val="24"/>
          <w:szCs w:val="24"/>
        </w:rPr>
        <w:t xml:space="preserve"> agonist al hormonului de eliberare al hormonului luteinizant (LHRH).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 În studiile clinice de înregistrare, criza viscerală a fost definită astfel: paciente cu efuziuni masive necontrolate (pleurale, pericardice, peritoneale), limfangită pulmonară şi implicare hepatică peste 50%.</w:t>
      </w:r>
      <w:proofErr w:type="gramEnd"/>
      <w:r w:rsidRPr="007733CF">
        <w:rPr>
          <w:rFonts w:ascii="Arial" w:hAnsi="Arial" w:cs="Arial"/>
          <w:sz w:val="24"/>
          <w:szCs w:val="24"/>
        </w:rPr>
        <w:t xml:space="preserve"> Prescrierea palbociclib la paciente cu afectare metastatică viscerală, în baza prezentului protocol terapeutic, se </w:t>
      </w:r>
      <w:proofErr w:type="gramStart"/>
      <w:r w:rsidRPr="007733CF">
        <w:rPr>
          <w:rFonts w:ascii="Arial" w:hAnsi="Arial" w:cs="Arial"/>
          <w:sz w:val="24"/>
          <w:szCs w:val="24"/>
        </w:rPr>
        <w:t>va</w:t>
      </w:r>
      <w:proofErr w:type="gramEnd"/>
      <w:r w:rsidRPr="007733CF">
        <w:rPr>
          <w:rFonts w:ascii="Arial" w:hAnsi="Arial" w:cs="Arial"/>
          <w:sz w:val="24"/>
          <w:szCs w:val="24"/>
        </w:rPr>
        <w:t xml:space="preserve"> face conform deciziei medicului curant. Acesta (medicul curant) </w:t>
      </w:r>
      <w:proofErr w:type="gramStart"/>
      <w:r w:rsidRPr="007733CF">
        <w:rPr>
          <w:rFonts w:ascii="Arial" w:hAnsi="Arial" w:cs="Arial"/>
          <w:sz w:val="24"/>
          <w:szCs w:val="24"/>
        </w:rPr>
        <w:t>va</w:t>
      </w:r>
      <w:proofErr w:type="gramEnd"/>
      <w:r w:rsidRPr="007733CF">
        <w:rPr>
          <w:rFonts w:ascii="Arial" w:hAnsi="Arial" w:cs="Arial"/>
          <w:sz w:val="24"/>
          <w:szCs w:val="24"/>
        </w:rPr>
        <w:t xml:space="preserve"> aprecia dacă este oportună utilizarea combinaţiei hormonoterapie plus palbociclib (+/- bisfosfonaţi pentru leziuni osoase) sau va indica utilizarea chimioterapiei sistemice.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diagnostic</w:t>
      </w:r>
      <w:proofErr w:type="gramEnd"/>
      <w:r w:rsidRPr="007733CF">
        <w:rPr>
          <w:rFonts w:ascii="Arial" w:hAnsi="Arial" w:cs="Arial"/>
          <w:sz w:val="24"/>
          <w:szCs w:val="24"/>
        </w:rPr>
        <w:t xml:space="preserve"> de cancer mamar avansat local, recurent sau metastatic, cu receptori hormonali (estrogenici şi/sau progesteronici) şi expresie negativă pentru receptorul HER2-neu;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vârsta</w:t>
      </w:r>
      <w:proofErr w:type="gramEnd"/>
      <w:r w:rsidRPr="007733CF">
        <w:rPr>
          <w:rFonts w:ascii="Arial" w:hAnsi="Arial" w:cs="Arial"/>
          <w:sz w:val="24"/>
          <w:szCs w:val="24"/>
        </w:rPr>
        <w:t xml:space="preserve"> peste 18 ani;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indice</w:t>
      </w:r>
      <w:proofErr w:type="gramEnd"/>
      <w:r w:rsidRPr="007733CF">
        <w:rPr>
          <w:rFonts w:ascii="Arial" w:hAnsi="Arial" w:cs="Arial"/>
          <w:sz w:val="24"/>
          <w:szCs w:val="24"/>
        </w:rPr>
        <w:t xml:space="preserve"> al statusului de performanţă ECOG 0-2;</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probe</w:t>
      </w:r>
      <w:proofErr w:type="gramEnd"/>
      <w:r w:rsidRPr="007733CF">
        <w:rPr>
          <w:rFonts w:ascii="Arial" w:hAnsi="Arial" w:cs="Arial"/>
          <w:sz w:val="24"/>
          <w:szCs w:val="24"/>
        </w:rPr>
        <w:t xml:space="preserve"> biologice care, în opinia medicului curant, permit administrarea medicamentului în condiţii de siguranţă.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hipersensibilitate</w:t>
      </w:r>
      <w:proofErr w:type="gramEnd"/>
      <w:r w:rsidRPr="007733CF">
        <w:rPr>
          <w:rFonts w:ascii="Arial" w:hAnsi="Arial" w:cs="Arial"/>
          <w:sz w:val="24"/>
          <w:szCs w:val="24"/>
        </w:rPr>
        <w:t xml:space="preserve"> la substanţa activă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femei</w:t>
      </w:r>
      <w:proofErr w:type="gramEnd"/>
      <w:r w:rsidRPr="007733CF">
        <w:rPr>
          <w:rFonts w:ascii="Arial" w:hAnsi="Arial" w:cs="Arial"/>
          <w:sz w:val="24"/>
          <w:szCs w:val="24"/>
        </w:rPr>
        <w:t xml:space="preserve"> în pre- sau perimenopauză, fără ablaţie ovariană sau fără supresie ovariană cu un agonist de LHRH.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Palbociclib se administrează pe cale orală. </w:t>
      </w:r>
      <w:proofErr w:type="gramStart"/>
      <w:r w:rsidRPr="007733CF">
        <w:rPr>
          <w:rFonts w:ascii="Arial" w:hAnsi="Arial" w:cs="Arial"/>
          <w:sz w:val="24"/>
          <w:szCs w:val="24"/>
        </w:rPr>
        <w:t>Nu se utilizează concomitent cu preparate conţinând sunătoare.</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recomandată este de palbociclib 125 mg o dată pe zi timp de 21 de zile consecutive, urmate de 7 zile fără tratament (schema 3/1). Tratamentul cu palbociclib </w:t>
      </w:r>
      <w:r w:rsidRPr="007733CF">
        <w:rPr>
          <w:rFonts w:ascii="Arial" w:hAnsi="Arial" w:cs="Arial"/>
          <w:sz w:val="24"/>
          <w:szCs w:val="24"/>
        </w:rPr>
        <w:lastRenderedPageBreak/>
        <w:t xml:space="preserve">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fie continuat atât timp cât pacientul înregistrează un beneficiu clinic sau până când apare toxicitatea inacceptabilă.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Atunci când este administrat concomitent cu palbociclib, doza recomandată de letrozol este de 2</w:t>
      </w:r>
      <w:proofErr w:type="gramStart"/>
      <w:r w:rsidRPr="007733CF">
        <w:rPr>
          <w:rFonts w:ascii="Arial" w:hAnsi="Arial" w:cs="Arial"/>
          <w:sz w:val="24"/>
          <w:szCs w:val="24"/>
        </w:rPr>
        <w:t>,5</w:t>
      </w:r>
      <w:proofErr w:type="gramEnd"/>
      <w:r w:rsidRPr="007733CF">
        <w:rPr>
          <w:rFonts w:ascii="Arial" w:hAnsi="Arial" w:cs="Arial"/>
          <w:sz w:val="24"/>
          <w:szCs w:val="24"/>
        </w:rPr>
        <w:t xml:space="preserve"> mg, administrată pe cale orală, o dată pe zi, în mod continuu pe parcursul ciclului de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femeilor în pre-/perimenopauză cu palbociclib şi inhibitor de aromatază trebuie întotdeauna combinat cu </w:t>
      </w:r>
      <w:proofErr w:type="gramStart"/>
      <w:r w:rsidRPr="007733CF">
        <w:rPr>
          <w:rFonts w:ascii="Arial" w:hAnsi="Arial" w:cs="Arial"/>
          <w:sz w:val="24"/>
          <w:szCs w:val="24"/>
        </w:rPr>
        <w:t>un</w:t>
      </w:r>
      <w:proofErr w:type="gramEnd"/>
      <w:r w:rsidRPr="007733CF">
        <w:rPr>
          <w:rFonts w:ascii="Arial" w:hAnsi="Arial" w:cs="Arial"/>
          <w:sz w:val="24"/>
          <w:szCs w:val="24"/>
        </w:rPr>
        <w:t xml:space="preserve"> agonist al LHRH.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Atunci când </w:t>
      </w:r>
      <w:proofErr w:type="gramStart"/>
      <w:r w:rsidRPr="007733CF">
        <w:rPr>
          <w:rFonts w:ascii="Arial" w:hAnsi="Arial" w:cs="Arial"/>
          <w:sz w:val="24"/>
          <w:szCs w:val="24"/>
        </w:rPr>
        <w:t>este</w:t>
      </w:r>
      <w:proofErr w:type="gramEnd"/>
      <w:r w:rsidRPr="007733CF">
        <w:rPr>
          <w:rFonts w:ascii="Arial" w:hAnsi="Arial" w:cs="Arial"/>
          <w:sz w:val="24"/>
          <w:szCs w:val="24"/>
        </w:rPr>
        <w:t xml:space="preserve"> administrat concomitent cu palbociclib, doza recomandată de fulvestrant este de 500 mg, administrată intramuscular în zilele 1, 15, 29 şi ulterior o dată pe lună. Înainte de a începe tratamentul cu combinaţia palbociclib plus fulvestrant şi pe parcursul acesteia, femeile la pre/perimenopauză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fie tratate cu agonişti de LHRH. Modificările dozei de palbociclib - conform tabelelor din Rezumatul caracteristicilor produsului (RCP)</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Hemograma completă trebuie monitorizată anterior începerii tratamentului cu palbociclib şi la începutul fiecărui ciclu, precum şi în ziua 14 din primele 2 cicluri.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Răspunsul terapeutic se </w:t>
      </w:r>
      <w:proofErr w:type="gramStart"/>
      <w:r w:rsidRPr="007733CF">
        <w:rPr>
          <w:rFonts w:ascii="Arial" w:hAnsi="Arial" w:cs="Arial"/>
          <w:sz w:val="24"/>
          <w:szCs w:val="24"/>
        </w:rPr>
        <w:t>va</w:t>
      </w:r>
      <w:proofErr w:type="gramEnd"/>
      <w:r w:rsidRPr="007733CF">
        <w:rPr>
          <w:rFonts w:ascii="Arial" w:hAnsi="Arial" w:cs="Arial"/>
          <w:sz w:val="24"/>
          <w:szCs w:val="24"/>
        </w:rPr>
        <w:t xml:space="preserve"> evalua prin metode clinice, imagistice (CT, RMN) la intervale regulate.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Este recomandată întreruperea dozei, reducerea dozei sau întârziere în începerea ciclurilor de tratament pentru pacienţii care dezvoltă neutropenie de grad 3 sau 4.</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trebuie monitorizaţi pentru semne şi simptome de infecţie deoarece palbociclib are proprietăţi mielosupresive.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progresia</w:t>
      </w:r>
      <w:proofErr w:type="gramEnd"/>
      <w:r w:rsidRPr="007733CF">
        <w:rPr>
          <w:rFonts w:ascii="Arial" w:hAnsi="Arial" w:cs="Arial"/>
          <w:sz w:val="24"/>
          <w:szCs w:val="24"/>
        </w:rPr>
        <w:t xml:space="preserve"> bolii (obiectivat imagistic şi/sau clinic);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toxicităţi</w:t>
      </w:r>
      <w:proofErr w:type="gramEnd"/>
      <w:r w:rsidRPr="007733CF">
        <w:rPr>
          <w:rFonts w:ascii="Arial" w:hAnsi="Arial" w:cs="Arial"/>
          <w:sz w:val="24"/>
          <w:szCs w:val="24"/>
        </w:rPr>
        <w:t xml:space="preserve"> inacceptabile;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dacă</w:t>
      </w:r>
      <w:proofErr w:type="gramEnd"/>
      <w:r w:rsidRPr="007733CF">
        <w:rPr>
          <w:rFonts w:ascii="Arial" w:hAnsi="Arial" w:cs="Arial"/>
          <w:sz w:val="24"/>
          <w:szCs w:val="24"/>
        </w:rPr>
        <w:t xml:space="preserve"> din cauza reacţiilor adverse este necesară reducerea dozei sub 75 mg/zi.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 Prescriptori:</w:t>
      </w:r>
      <w:r w:rsidRPr="007733CF">
        <w:rPr>
          <w:rFonts w:ascii="Arial" w:hAnsi="Arial" w:cs="Arial"/>
          <w:sz w:val="24"/>
          <w:szCs w:val="24"/>
        </w:rPr>
        <w:t xml:space="preserve"> iniţierea se face de către medicii din specialitatea oncologie medicală. Continuarea tratamentului se face de către medicul oncolog sau pe baza scrisorii medicale de către medicii de familie desemnaţi."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 xml:space="preserve">6. Protocolul terapeutic corespunzător poziţiei nr. 255 cod (L01XX52): DCI VENETOCLAX se modifică şi </w:t>
      </w:r>
      <w:proofErr w:type="gramStart"/>
      <w:r w:rsidRPr="007733CF">
        <w:rPr>
          <w:rFonts w:ascii="Arial" w:hAnsi="Arial" w:cs="Arial"/>
          <w:b/>
          <w:bCs/>
          <w:sz w:val="24"/>
          <w:szCs w:val="24"/>
        </w:rPr>
        <w:t>va</w:t>
      </w:r>
      <w:proofErr w:type="gramEnd"/>
      <w:r w:rsidRPr="007733CF">
        <w:rPr>
          <w:rFonts w:ascii="Arial" w:hAnsi="Arial" w:cs="Arial"/>
          <w:b/>
          <w:bCs/>
          <w:sz w:val="24"/>
          <w:szCs w:val="24"/>
        </w:rPr>
        <w:t xml:space="preserve">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t xml:space="preserve">    "DCI: VENETOCLAX</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Indicaţie: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Leucemia limfocitară cronică (LLC)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pacienţii</w:t>
      </w:r>
      <w:proofErr w:type="gramEnd"/>
      <w:r w:rsidRPr="007733CF">
        <w:rPr>
          <w:rFonts w:ascii="Arial" w:hAnsi="Arial" w:cs="Arial"/>
          <w:sz w:val="24"/>
          <w:szCs w:val="24"/>
        </w:rPr>
        <w:t xml:space="preserve"> adulţi (peste 18 ani) cu leucemie limfatică cronică (LLC) - în monoterapie: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 în prezenţa deleţiei 17p sau a mutaţiei TP53 - pacienţi adulţi care nu sunt eligibili pentru sau au avut eşec la un inhibitor al căii de semnalizare a receptorilor celulelor 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b) în absenţa deleţiei 17p sau a mutaţiei TP53 - pacienţi care au avut eşec atât la chimioterapie şi imunoterapie, cât şi la tratamentul cu un inhibitor al căii de semnalizare a receptorilor celulelor 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w:t>
      </w:r>
      <w:proofErr w:type="gramEnd"/>
      <w:r w:rsidRPr="007733CF">
        <w:rPr>
          <w:rFonts w:ascii="Arial" w:hAnsi="Arial" w:cs="Arial"/>
          <w:sz w:val="24"/>
          <w:szCs w:val="24"/>
        </w:rPr>
        <w:t xml:space="preserve"> adulţi cu leucemie limfocitară cronică (LLC) care au primit anterior cel puţin un tratament - în asociere cu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hipersensibilitate</w:t>
      </w:r>
      <w:proofErr w:type="gramEnd"/>
      <w:r w:rsidRPr="007733CF">
        <w:rPr>
          <w:rFonts w:ascii="Arial" w:hAnsi="Arial" w:cs="Arial"/>
          <w:sz w:val="24"/>
          <w:szCs w:val="24"/>
        </w:rPr>
        <w:t xml:space="preserve"> la substanţa activă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utilizarea</w:t>
      </w:r>
      <w:proofErr w:type="gramEnd"/>
      <w:r w:rsidRPr="007733CF">
        <w:rPr>
          <w:rFonts w:ascii="Arial" w:hAnsi="Arial" w:cs="Arial"/>
          <w:sz w:val="24"/>
          <w:szCs w:val="24"/>
        </w:rPr>
        <w:t xml:space="preserve"> concomitentă a venetoclax cu inhibitori puternici ai CYP3A la iniţierea tratamentului şi în timpul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utilizarea</w:t>
      </w:r>
      <w:proofErr w:type="gramEnd"/>
      <w:r w:rsidRPr="007733CF">
        <w:rPr>
          <w:rFonts w:ascii="Arial" w:hAnsi="Arial" w:cs="Arial"/>
          <w:sz w:val="24"/>
          <w:szCs w:val="24"/>
        </w:rPr>
        <w:t xml:space="preserve"> concomitentă a venetoclax cu produsele care conţin sunătoare;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sarcina</w:t>
      </w:r>
      <w:proofErr w:type="gramEnd"/>
      <w:r w:rsidRPr="007733CF">
        <w:rPr>
          <w:rFonts w:ascii="Arial" w:hAnsi="Arial" w:cs="Arial"/>
          <w:sz w:val="24"/>
          <w:szCs w:val="24"/>
        </w:rPr>
        <w:t xml:space="preserve"> şi alăptarea;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insuficienţa</w:t>
      </w:r>
      <w:proofErr w:type="gramEnd"/>
      <w:r w:rsidRPr="007733CF">
        <w:rPr>
          <w:rFonts w:ascii="Arial" w:hAnsi="Arial" w:cs="Arial"/>
          <w:sz w:val="24"/>
          <w:szCs w:val="24"/>
        </w:rPr>
        <w:t xml:space="preserve"> hepatică severă.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cu venetoclax trebuie iniţiat sub îndrumarea şi supravegherea unui medic cu experienţă în tratamentul bolilor hemato-oncologice.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Doza recomandată: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Calendarul de titrare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iniţială de venetoclax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20 mg o dată pe zi timp de 7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trebuie crescută treptat pe durata a 5 săptămâni până la atingerea dozei zilnice recomandate de 400 mg conform indicaţiilor din tabelul 1. Schema de ajustare a dozei cu durata de 5 săptămâni </w:t>
      </w:r>
      <w:proofErr w:type="gramStart"/>
      <w:r w:rsidRPr="007733CF">
        <w:rPr>
          <w:rFonts w:ascii="Arial" w:hAnsi="Arial" w:cs="Arial"/>
          <w:sz w:val="24"/>
          <w:szCs w:val="24"/>
        </w:rPr>
        <w:t>este</w:t>
      </w:r>
      <w:proofErr w:type="gramEnd"/>
      <w:r w:rsidRPr="007733CF">
        <w:rPr>
          <w:rFonts w:ascii="Arial" w:hAnsi="Arial" w:cs="Arial"/>
          <w:sz w:val="24"/>
          <w:szCs w:val="24"/>
        </w:rPr>
        <w:t xml:space="preserve"> concepută pentru scăderea treptată a încărcăturii tumorale şi a riscului de apariţie a sindromului de liză tumorală (SLT).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Tabelul 1: Calendarul creşterii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Săptămâna  |</w:t>
      </w:r>
      <w:proofErr w:type="gramEnd"/>
      <w:r w:rsidRPr="007733CF">
        <w:rPr>
          <w:rFonts w:ascii="Arial" w:hAnsi="Arial" w:cs="Arial"/>
          <w:sz w:val="24"/>
          <w:szCs w:val="24"/>
        </w:rPr>
        <w:t xml:space="preserve"> Doza zilnică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 de venetoclax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1       |     20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2       |     50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3       |     100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4       |     200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5 şi ulterior |     400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Doza după titrare pentru venetoclax administrat în asociere cu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recomandată pentru venetoclax administrat în asociere cu rituximab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400 mg o dată pe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Rituximab trebuie administrat după </w:t>
      </w:r>
      <w:proofErr w:type="gramStart"/>
      <w:r w:rsidRPr="007733CF">
        <w:rPr>
          <w:rFonts w:ascii="Arial" w:hAnsi="Arial" w:cs="Arial"/>
          <w:sz w:val="24"/>
          <w:szCs w:val="24"/>
        </w:rPr>
        <w:t>ce</w:t>
      </w:r>
      <w:proofErr w:type="gramEnd"/>
      <w:r w:rsidRPr="007733CF">
        <w:rPr>
          <w:rFonts w:ascii="Arial" w:hAnsi="Arial" w:cs="Arial"/>
          <w:sz w:val="24"/>
          <w:szCs w:val="24"/>
        </w:rPr>
        <w:t xml:space="preserve"> pacientul a terminat calendarul de titrare a dozei şi a primit doza zilnică recomandată pentru venetoclax de 400 mg pentru 7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Venetoclax trebuie administrat timp de 24 luni din ciclul 1 ziua 1 pentru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Doza după titrare pentru venetoclax în monoterapie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recomandată pentru venetoclax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400 mg o dată pe zi. Tratamentul trebuie continuat până la progresia bolii sau până când nu mai </w:t>
      </w:r>
      <w:proofErr w:type="gramStart"/>
      <w:r w:rsidRPr="007733CF">
        <w:rPr>
          <w:rFonts w:ascii="Arial" w:hAnsi="Arial" w:cs="Arial"/>
          <w:sz w:val="24"/>
          <w:szCs w:val="24"/>
        </w:rPr>
        <w:t>este</w:t>
      </w:r>
      <w:proofErr w:type="gramEnd"/>
      <w:r w:rsidRPr="007733CF">
        <w:rPr>
          <w:rFonts w:ascii="Arial" w:hAnsi="Arial" w:cs="Arial"/>
          <w:sz w:val="24"/>
          <w:szCs w:val="24"/>
        </w:rPr>
        <w:t xml:space="preserve"> tolerat de către pacient.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Comprimatele filmate de venetoclax se înghit întregi, cu </w:t>
      </w:r>
      <w:proofErr w:type="gramStart"/>
      <w:r w:rsidRPr="007733CF">
        <w:rPr>
          <w:rFonts w:ascii="Arial" w:hAnsi="Arial" w:cs="Arial"/>
          <w:sz w:val="24"/>
          <w:szCs w:val="24"/>
        </w:rPr>
        <w:t>apă</w:t>
      </w:r>
      <w:proofErr w:type="gramEnd"/>
      <w:r w:rsidRPr="007733CF">
        <w:rPr>
          <w:rFonts w:ascii="Arial" w:hAnsi="Arial" w:cs="Arial"/>
          <w:sz w:val="24"/>
          <w:szCs w:val="24"/>
        </w:rPr>
        <w:t>, aproximativ la aceeaşi oră în fiecare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Comprimatele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fie luate cu alimente pentru a evita riscul apariţiei ineficacităţii.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Comprimatele nu trebuie mestecate, zdrobite sau rupte înainte </w:t>
      </w:r>
      <w:proofErr w:type="gramStart"/>
      <w:r w:rsidRPr="007733CF">
        <w:rPr>
          <w:rFonts w:ascii="Arial" w:hAnsi="Arial" w:cs="Arial"/>
          <w:sz w:val="24"/>
          <w:szCs w:val="24"/>
        </w:rPr>
        <w:t>să</w:t>
      </w:r>
      <w:proofErr w:type="gramEnd"/>
      <w:r w:rsidRPr="007733CF">
        <w:rPr>
          <w:rFonts w:ascii="Arial" w:hAnsi="Arial" w:cs="Arial"/>
          <w:sz w:val="24"/>
          <w:szCs w:val="24"/>
        </w:rPr>
        <w:t xml:space="preserve"> fie înghiţite.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timpul perioadei de ajustare a dozei, venetoclax trebuie administrat dimineaţa pentru a permite monitorizarea analizelor de laborator.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timpul tratamentului cu venetoclax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se evite consumul de grapefruit, de portocale de Sevilla şi de fruct stea (carambola).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xml:space="preserve">• Prevenirea apariţiei sindromului de </w:t>
      </w:r>
      <w:proofErr w:type="gramStart"/>
      <w:r w:rsidRPr="007733CF">
        <w:rPr>
          <w:rFonts w:ascii="Arial" w:hAnsi="Arial" w:cs="Arial"/>
          <w:sz w:val="24"/>
          <w:szCs w:val="24"/>
          <w:u w:val="single"/>
        </w:rPr>
        <w:t>liză</w:t>
      </w:r>
      <w:proofErr w:type="gramEnd"/>
      <w:r w:rsidRPr="007733CF">
        <w:rPr>
          <w:rFonts w:ascii="Arial" w:hAnsi="Arial" w:cs="Arial"/>
          <w:sz w:val="24"/>
          <w:szCs w:val="24"/>
          <w:u w:val="single"/>
        </w:rPr>
        <w:t xml:space="preserve"> tumorală: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Venetoclax poate provoca scăderea rapidă a tumorii asociindu-se cu riscul de SLT în faza iniţială de ajustare a dozei cu durata de 5 săptămâni.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Modificări ale valorilor electroliţilor sugestive pentru SLT, </w:t>
      </w:r>
      <w:proofErr w:type="gramStart"/>
      <w:r w:rsidRPr="007733CF">
        <w:rPr>
          <w:rFonts w:ascii="Arial" w:hAnsi="Arial" w:cs="Arial"/>
          <w:sz w:val="24"/>
          <w:szCs w:val="24"/>
        </w:rPr>
        <w:t>ce</w:t>
      </w:r>
      <w:proofErr w:type="gramEnd"/>
      <w:r w:rsidRPr="007733CF">
        <w:rPr>
          <w:rFonts w:ascii="Arial" w:hAnsi="Arial" w:cs="Arial"/>
          <w:sz w:val="24"/>
          <w:szCs w:val="24"/>
        </w:rPr>
        <w:t xml:space="preserve"> necesită tratament prompt, pot să apară încă de la 6 până la 8 ore după administrarea primei doze de venetoclax şi la fiecare creştere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Riscul de apariţie a SLT </w:t>
      </w:r>
      <w:proofErr w:type="gramStart"/>
      <w:r w:rsidRPr="007733CF">
        <w:rPr>
          <w:rFonts w:ascii="Arial" w:hAnsi="Arial" w:cs="Arial"/>
          <w:sz w:val="24"/>
          <w:szCs w:val="24"/>
        </w:rPr>
        <w:t>este</w:t>
      </w:r>
      <w:proofErr w:type="gramEnd"/>
      <w:r w:rsidRPr="007733CF">
        <w:rPr>
          <w:rFonts w:ascii="Arial" w:hAnsi="Arial" w:cs="Arial"/>
          <w:sz w:val="24"/>
          <w:szCs w:val="24"/>
        </w:rPr>
        <w:t xml:space="preserve"> un proces continuu la care contribuie mai mulţi factori: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încărcătura</w:t>
      </w:r>
      <w:proofErr w:type="gramEnd"/>
      <w:r w:rsidRPr="007733CF">
        <w:rPr>
          <w:rFonts w:ascii="Arial" w:hAnsi="Arial" w:cs="Arial"/>
          <w:sz w:val="24"/>
          <w:szCs w:val="24"/>
        </w:rPr>
        <w:t xml:space="preserve"> tumorală semnificativă [de exemplu: orice ganglion cu diametrul &gt;/= 5 cm sau număr absolut de limfocite (NAL) &gt;/=25 x 109/l] creşte riscul apariţiei SLT în momentul iniţierii tratamentului cu venetoclax;</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funcţia</w:t>
      </w:r>
      <w:proofErr w:type="gramEnd"/>
      <w:r w:rsidRPr="007733CF">
        <w:rPr>
          <w:rFonts w:ascii="Arial" w:hAnsi="Arial" w:cs="Arial"/>
          <w:sz w:val="24"/>
          <w:szCs w:val="24"/>
        </w:rPr>
        <w:t xml:space="preserve"> renală diminuată [clearance al creatininei (ClCr) &lt; 80 ml/min contribuie la creşterea suplimentară a riscului].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Este posibil ca riscul </w:t>
      </w:r>
      <w:proofErr w:type="gramStart"/>
      <w:r w:rsidRPr="007733CF">
        <w:rPr>
          <w:rFonts w:ascii="Arial" w:hAnsi="Arial" w:cs="Arial"/>
          <w:sz w:val="24"/>
          <w:szCs w:val="24"/>
        </w:rPr>
        <w:t>să</w:t>
      </w:r>
      <w:proofErr w:type="gramEnd"/>
      <w:r w:rsidRPr="007733CF">
        <w:rPr>
          <w:rFonts w:ascii="Arial" w:hAnsi="Arial" w:cs="Arial"/>
          <w:sz w:val="24"/>
          <w:szCs w:val="24"/>
        </w:rPr>
        <w:t xml:space="preserve"> scadă odată cu scăderea încărcăturii tumorale ca urmare a tratamentului cu venetoclax.</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Măsuri: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evaluarea</w:t>
      </w:r>
      <w:proofErr w:type="gramEnd"/>
      <w:r w:rsidRPr="007733CF">
        <w:rPr>
          <w:rFonts w:ascii="Arial" w:hAnsi="Arial" w:cs="Arial"/>
          <w:sz w:val="24"/>
          <w:szCs w:val="24"/>
        </w:rPr>
        <w:t xml:space="preserve"> încărcăturii tumorale înaintea începerii tratamentului cu venetoclax, inclusiv radiologic (de exemplu: computer tomograf);</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teste</w:t>
      </w:r>
      <w:proofErr w:type="gramEnd"/>
      <w:r w:rsidRPr="007733CF">
        <w:rPr>
          <w:rFonts w:ascii="Arial" w:hAnsi="Arial" w:cs="Arial"/>
          <w:sz w:val="24"/>
          <w:szCs w:val="24"/>
        </w:rPr>
        <w:t xml:space="preserve"> biochimice sanguine: potasiu, acid uric, fosfor, calciu, creatinină; corectarea valorilor anormale biochimice preexistente;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w:t>
      </w:r>
      <w:proofErr w:type="gramStart"/>
      <w:r w:rsidRPr="007733CF">
        <w:rPr>
          <w:rFonts w:ascii="Arial" w:hAnsi="Arial" w:cs="Arial"/>
          <w:sz w:val="24"/>
          <w:szCs w:val="24"/>
        </w:rPr>
        <w:t>hidratare</w:t>
      </w:r>
      <w:proofErr w:type="gramEnd"/>
      <w:r w:rsidRPr="007733CF">
        <w:rPr>
          <w:rFonts w:ascii="Arial" w:hAnsi="Arial" w:cs="Arial"/>
          <w:sz w:val="24"/>
          <w:szCs w:val="24"/>
        </w:rPr>
        <w:t xml:space="preserve">: pacienţii trebuie să consume 1,5 - 2 litri de apă zilnic, începând cu 2 zile înainte, în zilele iniţierii tratamentului, precum şi la fiecare creştere ulterioară a dozei. În funcţie de starea clinică şi de riscul general de SLT, precum şi în cazul pacienţilor </w:t>
      </w:r>
      <w:proofErr w:type="gramStart"/>
      <w:r w:rsidRPr="007733CF">
        <w:rPr>
          <w:rFonts w:ascii="Arial" w:hAnsi="Arial" w:cs="Arial"/>
          <w:sz w:val="24"/>
          <w:szCs w:val="24"/>
        </w:rPr>
        <w:t>ce</w:t>
      </w:r>
      <w:proofErr w:type="gramEnd"/>
      <w:r w:rsidRPr="007733CF">
        <w:rPr>
          <w:rFonts w:ascii="Arial" w:hAnsi="Arial" w:cs="Arial"/>
          <w:sz w:val="24"/>
          <w:szCs w:val="24"/>
        </w:rPr>
        <w:t xml:space="preserve"> nu se pot hidrata oral se vor administra lichide intravenos.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medicamente</w:t>
      </w:r>
      <w:proofErr w:type="gramEnd"/>
      <w:r w:rsidRPr="007733CF">
        <w:rPr>
          <w:rFonts w:ascii="Arial" w:hAnsi="Arial" w:cs="Arial"/>
          <w:sz w:val="24"/>
          <w:szCs w:val="24"/>
        </w:rPr>
        <w:t xml:space="preserve"> care scad acidul uric. La pacienţii cu concentraţii crescute ale acidului uric sau la cei care au risc de SLT, medicamentele care scad acidul uric trebuie administrate cu 2 până la 3 zile înainte de iniţierea tratamentului cu venetoclax şi pot fi continuate în perioada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analize de laborator.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 </w:t>
      </w:r>
      <w:proofErr w:type="gramStart"/>
      <w:r w:rsidRPr="007733CF">
        <w:rPr>
          <w:rFonts w:ascii="Arial" w:hAnsi="Arial" w:cs="Arial"/>
          <w:sz w:val="24"/>
          <w:szCs w:val="24"/>
        </w:rPr>
        <w:t>înainte</w:t>
      </w:r>
      <w:proofErr w:type="gramEnd"/>
      <w:r w:rsidRPr="007733CF">
        <w:rPr>
          <w:rFonts w:ascii="Arial" w:hAnsi="Arial" w:cs="Arial"/>
          <w:sz w:val="24"/>
          <w:szCs w:val="24"/>
        </w:rPr>
        <w:t xml:space="preserve"> de administrarea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efectuarea</w:t>
      </w:r>
      <w:proofErr w:type="gramEnd"/>
      <w:r w:rsidRPr="007733CF">
        <w:rPr>
          <w:rFonts w:ascii="Arial" w:hAnsi="Arial" w:cs="Arial"/>
          <w:sz w:val="24"/>
          <w:szCs w:val="24"/>
        </w:rPr>
        <w:t xml:space="preserve"> testelor biochimice sanguine tuturor pacienţilor înainte de administrarea dozei iniţiale, în vederea evaluării funcţiei renale şi a corectării valorilor anormale preexistente;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testele</w:t>
      </w:r>
      <w:proofErr w:type="gramEnd"/>
      <w:r w:rsidRPr="007733CF">
        <w:rPr>
          <w:rFonts w:ascii="Arial" w:hAnsi="Arial" w:cs="Arial"/>
          <w:sz w:val="24"/>
          <w:szCs w:val="24"/>
        </w:rPr>
        <w:t xml:space="preserve"> biochimice sanguine trebuie reluate înainte de fiecare creştere ulterioară a dozei pe durata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b) </w:t>
      </w:r>
      <w:proofErr w:type="gramStart"/>
      <w:r w:rsidRPr="007733CF">
        <w:rPr>
          <w:rFonts w:ascii="Arial" w:hAnsi="Arial" w:cs="Arial"/>
          <w:sz w:val="24"/>
          <w:szCs w:val="24"/>
        </w:rPr>
        <w:t>după</w:t>
      </w:r>
      <w:proofErr w:type="gramEnd"/>
      <w:r w:rsidRPr="007733CF">
        <w:rPr>
          <w:rFonts w:ascii="Arial" w:hAnsi="Arial" w:cs="Arial"/>
          <w:sz w:val="24"/>
          <w:szCs w:val="24"/>
        </w:rPr>
        <w:t xml:space="preserve"> administrarea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pacienţii cu risc de apariţie a SLT, testele biochimice sanguine trebuie monitorizate la 6 până la 8 ore şi la 24 de ore după prima doză de venetoclax administrată;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dezechilibrele</w:t>
      </w:r>
      <w:proofErr w:type="gramEnd"/>
      <w:r w:rsidRPr="007733CF">
        <w:rPr>
          <w:rFonts w:ascii="Arial" w:hAnsi="Arial" w:cs="Arial"/>
          <w:sz w:val="24"/>
          <w:szCs w:val="24"/>
        </w:rPr>
        <w:t xml:space="preserve"> electrolitice trebuie corectate imediat;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nu</w:t>
      </w:r>
      <w:proofErr w:type="gramEnd"/>
      <w:r w:rsidRPr="007733CF">
        <w:rPr>
          <w:rFonts w:ascii="Arial" w:hAnsi="Arial" w:cs="Arial"/>
          <w:sz w:val="24"/>
          <w:szCs w:val="24"/>
        </w:rPr>
        <w:t xml:space="preserve"> se va administra următoarea doză de venetoclax decât după evaluarea testelor biochimice sanguine efectuate la 24 de ore;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acelaşi</w:t>
      </w:r>
      <w:proofErr w:type="gramEnd"/>
      <w:r w:rsidRPr="007733CF">
        <w:rPr>
          <w:rFonts w:ascii="Arial" w:hAnsi="Arial" w:cs="Arial"/>
          <w:sz w:val="24"/>
          <w:szCs w:val="24"/>
        </w:rPr>
        <w:t xml:space="preserve"> program de monitorizare se va efectua la iniţierea dozei de 50 mg şi după aceea la pacienţii care continuă să fie cu risc la creşterea ulterioară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r w:rsidRPr="007733CF">
        <w:rPr>
          <w:rFonts w:ascii="Arial" w:hAnsi="Arial" w:cs="Arial"/>
          <w:sz w:val="24"/>
          <w:szCs w:val="24"/>
          <w:u w:val="single"/>
        </w:rPr>
        <w:t>spitalizare:</w:t>
      </w:r>
      <w:r w:rsidRPr="007733CF">
        <w:rPr>
          <w:rFonts w:ascii="Arial" w:hAnsi="Arial" w:cs="Arial"/>
          <w:sz w:val="24"/>
          <w:szCs w:val="24"/>
        </w:rPr>
        <w:t xml:space="preserve"> în funcţie de evaluarea medicului, unii pacienţi, mai ales cei cu risc crescut de apariţie a SLT, pot necesita internare în ziua în care se administrează prima doză de venetoclax pentru a se asigura profilaxie şi monitorizare mai susţinute pe durata primelor 24 de ore. În urma reevaluării riscului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se ia în considerare spitalizarea şi în cazul următoarelor creşteri ale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Ajustarea dozelor: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 Ajustarea dozelor în cazul sindromului de </w:t>
      </w:r>
      <w:proofErr w:type="gramStart"/>
      <w:r w:rsidRPr="007733CF">
        <w:rPr>
          <w:rFonts w:ascii="Arial" w:hAnsi="Arial" w:cs="Arial"/>
          <w:sz w:val="24"/>
          <w:szCs w:val="24"/>
        </w:rPr>
        <w:t>liză</w:t>
      </w:r>
      <w:proofErr w:type="gramEnd"/>
      <w:r w:rsidRPr="007733CF">
        <w:rPr>
          <w:rFonts w:ascii="Arial" w:hAnsi="Arial" w:cs="Arial"/>
          <w:sz w:val="24"/>
          <w:szCs w:val="24"/>
        </w:rPr>
        <w:t xml:space="preserve"> tumorală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Când </w:t>
      </w:r>
      <w:proofErr w:type="gramStart"/>
      <w:r w:rsidRPr="007733CF">
        <w:rPr>
          <w:rFonts w:ascii="Arial" w:hAnsi="Arial" w:cs="Arial"/>
          <w:sz w:val="24"/>
          <w:szCs w:val="24"/>
        </w:rPr>
        <w:t>un</w:t>
      </w:r>
      <w:proofErr w:type="gramEnd"/>
      <w:r w:rsidRPr="007733CF">
        <w:rPr>
          <w:rFonts w:ascii="Arial" w:hAnsi="Arial" w:cs="Arial"/>
          <w:sz w:val="24"/>
          <w:szCs w:val="24"/>
        </w:rPr>
        <w:t xml:space="preserve"> pacient prezintă modificări ale testelor biochimice sanguine sugestive pentru SLT, doza de venetoclax din ziua următoare trebuie oprită.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acestea se normalizează în interval de 24 până la 48 de ore de la ultima doză, tratamentul cu venetoclax poate fi reluat cu aceeaşi doză.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evenimentelor de SLT manifestat clinic sau al modificărilor testelor biochimice sanguine care necesită </w:t>
      </w:r>
      <w:proofErr w:type="gramStart"/>
      <w:r w:rsidRPr="007733CF">
        <w:rPr>
          <w:rFonts w:ascii="Arial" w:hAnsi="Arial" w:cs="Arial"/>
          <w:sz w:val="24"/>
          <w:szCs w:val="24"/>
        </w:rPr>
        <w:t>un</w:t>
      </w:r>
      <w:proofErr w:type="gramEnd"/>
      <w:r w:rsidRPr="007733CF">
        <w:rPr>
          <w:rFonts w:ascii="Arial" w:hAnsi="Arial" w:cs="Arial"/>
          <w:sz w:val="24"/>
          <w:szCs w:val="24"/>
        </w:rPr>
        <w:t xml:space="preserve"> interval de peste 48 de ore pentru normalizare, tratamentul trebuie să se reia cu o doză mai mică (vezi tabel).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reluării tratamentului cu venetoclax după întrerupere din cauza SLT,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se respecte instrucţiunile pentru prevenirea sindromului de liză tumorală.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b) Ajustarea dozelor în cazul altor tipuri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Tratamentul cu venetoclax trebuie oprit în cazul apariţiei: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oricărui</w:t>
      </w:r>
      <w:proofErr w:type="gramEnd"/>
      <w:r w:rsidRPr="007733CF">
        <w:rPr>
          <w:rFonts w:ascii="Arial" w:hAnsi="Arial" w:cs="Arial"/>
          <w:sz w:val="24"/>
          <w:szCs w:val="24"/>
        </w:rPr>
        <w:t xml:space="preserve"> tip de toxicitate de grad 3 sau 4 de alt tip decât cel hematologic;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neutropeniei</w:t>
      </w:r>
      <w:proofErr w:type="gramEnd"/>
      <w:r w:rsidRPr="007733CF">
        <w:rPr>
          <w:rFonts w:ascii="Arial" w:hAnsi="Arial" w:cs="Arial"/>
          <w:sz w:val="24"/>
          <w:szCs w:val="24"/>
        </w:rPr>
        <w:t xml:space="preserve"> de grad 3 sau 4 însoţite de infecţie sau febră; sau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toxicităţii</w:t>
      </w:r>
      <w:proofErr w:type="gramEnd"/>
      <w:r w:rsidRPr="007733CF">
        <w:rPr>
          <w:rFonts w:ascii="Arial" w:hAnsi="Arial" w:cs="Arial"/>
          <w:sz w:val="24"/>
          <w:szCs w:val="24"/>
        </w:rPr>
        <w:t xml:space="preserve"> hematologice de grad 4, cu excepţia limfopeniei.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După remiterea evenimentului de toxicitate la gradul 1 sau până la nivelul iniţial (recuperare), tratamentul cu venetoclax poate fi reluat cu aceeaşi doză.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evenimentul de toxicitate apare din nou şi în cazul oricărui episod ulterior, după remiterea evenimentului, atunci când se reia tratamentul cu venetoclax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se respecte recomandările privind reducerea dozei din tabel. Medicul poate </w:t>
      </w:r>
      <w:proofErr w:type="gramStart"/>
      <w:r w:rsidRPr="007733CF">
        <w:rPr>
          <w:rFonts w:ascii="Arial" w:hAnsi="Arial" w:cs="Arial"/>
          <w:sz w:val="24"/>
          <w:szCs w:val="24"/>
        </w:rPr>
        <w:t>să</w:t>
      </w:r>
      <w:proofErr w:type="gramEnd"/>
      <w:r w:rsidRPr="007733CF">
        <w:rPr>
          <w:rFonts w:ascii="Arial" w:hAnsi="Arial" w:cs="Arial"/>
          <w:sz w:val="24"/>
          <w:szCs w:val="24"/>
        </w:rPr>
        <w:t xml:space="preserve"> decidă o scădere mai mare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pacienţii care necesită o scădere a dozei la mai puţin de 100 mg pentru o perioadă mai mare de 2 săptămâni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se ia în considerare întreruperea tratamentului cu venetoclax.</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al căror tratament a fost întrerupt mai mult de 1 săptămână în primele 5 săptămâni de ajustare a dozei sau mai mult de 2 săptămâni la o doză zilnică de 400 mg trebuie reevaluat riscul de apariţie a SLT pentru a se stabili dacă </w:t>
      </w:r>
      <w:proofErr w:type="gramStart"/>
      <w:r w:rsidRPr="007733CF">
        <w:rPr>
          <w:rFonts w:ascii="Arial" w:hAnsi="Arial" w:cs="Arial"/>
          <w:sz w:val="24"/>
          <w:szCs w:val="24"/>
        </w:rPr>
        <w:t>este</w:t>
      </w:r>
      <w:proofErr w:type="gramEnd"/>
      <w:r w:rsidRPr="007733CF">
        <w:rPr>
          <w:rFonts w:ascii="Arial" w:hAnsi="Arial" w:cs="Arial"/>
          <w:sz w:val="24"/>
          <w:szCs w:val="24"/>
        </w:rPr>
        <w:t xml:space="preserve"> necesară reluarea tratamentului cu o doză mai mică.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Tabel: Ajustarea dozei în cazul SLT şi al altor tipuri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roofErr w:type="gramStart"/>
      <w:r w:rsidRPr="007733CF">
        <w:rPr>
          <w:rFonts w:ascii="Arial" w:hAnsi="Arial" w:cs="Arial"/>
          <w:sz w:val="24"/>
          <w:szCs w:val="24"/>
        </w:rPr>
        <w:t>|  Doza</w:t>
      </w:r>
      <w:proofErr w:type="gramEnd"/>
      <w:r w:rsidRPr="007733CF">
        <w:rPr>
          <w:rFonts w:ascii="Arial" w:hAnsi="Arial" w:cs="Arial"/>
          <w:sz w:val="24"/>
          <w:szCs w:val="24"/>
        </w:rPr>
        <w:t xml:space="preserve"> la momentul   |    Doza la reluarea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roofErr w:type="gramStart"/>
      <w:r w:rsidRPr="007733CF">
        <w:rPr>
          <w:rFonts w:ascii="Arial" w:hAnsi="Arial" w:cs="Arial"/>
          <w:sz w:val="24"/>
          <w:szCs w:val="24"/>
        </w:rPr>
        <w:t>|  întreruperii</w:t>
      </w:r>
      <w:proofErr w:type="gramEnd"/>
      <w:r w:rsidRPr="007733CF">
        <w:rPr>
          <w:rFonts w:ascii="Arial" w:hAnsi="Arial" w:cs="Arial"/>
          <w:sz w:val="24"/>
          <w:szCs w:val="24"/>
        </w:rPr>
        <w:t xml:space="preserve">       |    tratamentului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(mg)          |         (mg</w:t>
      </w:r>
      <w:r w:rsidRPr="007733CF">
        <w:rPr>
          <w:rFonts w:ascii="Arial" w:hAnsi="Arial" w:cs="Arial"/>
          <w:sz w:val="24"/>
          <w:szCs w:val="24"/>
          <w:vertAlign w:val="superscript"/>
        </w:rPr>
        <w:t>a</w:t>
      </w:r>
      <w:r w:rsidRPr="007733CF">
        <w:rPr>
          <w:rFonts w:ascii="Arial" w:hAnsi="Arial" w:cs="Arial"/>
          <w:sz w:val="24"/>
          <w:szCs w:val="24"/>
        </w:rPr>
        <w:t xml:space="preserve">)         </w:t>
      </w:r>
      <w:r w:rsidRPr="007733CF">
        <w:rPr>
          <w:rFonts w:ascii="Arial" w:hAnsi="Arial" w:cs="Arial"/>
          <w:sz w:val="24"/>
          <w:szCs w:val="24"/>
          <w:vertAlign w:val="subscript"/>
        </w:rPr>
        <w:t xml:space="preserve">  </w:t>
      </w: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400          |          300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300          |          200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200          |          100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100          |          50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50           |          20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20           |          10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vertAlign w:val="superscript"/>
        </w:rPr>
        <w:t>a</w:t>
      </w:r>
      <w:proofErr w:type="gramEnd"/>
      <w:r w:rsidRPr="007733CF">
        <w:rPr>
          <w:rFonts w:ascii="Arial" w:hAnsi="Arial" w:cs="Arial"/>
          <w:sz w:val="24"/>
          <w:szCs w:val="24"/>
        </w:rPr>
        <w:t xml:space="preserve"> Doza modificată trebuie continuată timp de</w:t>
      </w:r>
      <w:r w:rsidRPr="007733CF">
        <w:rPr>
          <w:rFonts w:ascii="Arial" w:hAnsi="Arial" w:cs="Arial"/>
          <w:sz w:val="24"/>
          <w:szCs w:val="24"/>
          <w:vertAlign w:val="subscript"/>
        </w:rPr>
        <w:t xml:space="preserve">  </w:t>
      </w: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1 săptămână înainte de creşterea acesteia.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 Ajustarea dozelor în cazul utilizării concomitente </w:t>
      </w:r>
      <w:proofErr w:type="gramStart"/>
      <w:r w:rsidRPr="007733CF">
        <w:rPr>
          <w:rFonts w:ascii="Arial" w:hAnsi="Arial" w:cs="Arial"/>
          <w:sz w:val="24"/>
          <w:szCs w:val="24"/>
        </w:rPr>
        <w:t>a</w:t>
      </w:r>
      <w:proofErr w:type="gramEnd"/>
      <w:r w:rsidRPr="007733CF">
        <w:rPr>
          <w:rFonts w:ascii="Arial" w:hAnsi="Arial" w:cs="Arial"/>
          <w:sz w:val="24"/>
          <w:szCs w:val="24"/>
        </w:rPr>
        <w:t xml:space="preserve"> inhibitorilor CYP3A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Utilizarea concomitentă a venetoclax cu inhibitori puternici sau moderaţi ai CYP3A creşte expunerea la venetoclax şi poate creşte riscul de apariţie a SLT şi </w:t>
      </w:r>
      <w:proofErr w:type="gramStart"/>
      <w:r w:rsidRPr="007733CF">
        <w:rPr>
          <w:rFonts w:ascii="Arial" w:hAnsi="Arial" w:cs="Arial"/>
          <w:sz w:val="24"/>
          <w:szCs w:val="24"/>
        </w:rPr>
        <w:t>a</w:t>
      </w:r>
      <w:proofErr w:type="gramEnd"/>
      <w:r w:rsidRPr="007733CF">
        <w:rPr>
          <w:rFonts w:ascii="Arial" w:hAnsi="Arial" w:cs="Arial"/>
          <w:sz w:val="24"/>
          <w:szCs w:val="24"/>
        </w:rPr>
        <w:t xml:space="preserve"> altor fenomene toxice.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Perioada de iniţiere şi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Este contraindicată utilizarea concomitentă a venetoclax cu inhibitori puternici ai CYP3A.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Trebuie evitată utilizarea concomitentă cu inhibitori moderaţi ai CYP3A; trebuie luată în considerare utilizarea de alternative terapeutice.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trebuie utilizat </w:t>
      </w:r>
      <w:proofErr w:type="gramStart"/>
      <w:r w:rsidRPr="007733CF">
        <w:rPr>
          <w:rFonts w:ascii="Arial" w:hAnsi="Arial" w:cs="Arial"/>
          <w:sz w:val="24"/>
          <w:szCs w:val="24"/>
        </w:rPr>
        <w:t>un</w:t>
      </w:r>
      <w:proofErr w:type="gramEnd"/>
      <w:r w:rsidRPr="007733CF">
        <w:rPr>
          <w:rFonts w:ascii="Arial" w:hAnsi="Arial" w:cs="Arial"/>
          <w:sz w:val="24"/>
          <w:szCs w:val="24"/>
        </w:rPr>
        <w:t xml:space="preserve"> inhibitor moderat al CYP3A, doza iniţială de venetoclax şi dozele din perioada de ajustare a dozei trebuie reduse cu cel puţin 50%.</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Pacienţii trebuie monitorizaţi mai atent pentru depistarea semnelor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După terminarea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pacienţii care primesc o doză zilnică </w:t>
      </w:r>
      <w:proofErr w:type="gramStart"/>
      <w:r w:rsidRPr="007733CF">
        <w:rPr>
          <w:rFonts w:ascii="Arial" w:hAnsi="Arial" w:cs="Arial"/>
          <w:sz w:val="24"/>
          <w:szCs w:val="24"/>
        </w:rPr>
        <w:t>constantă</w:t>
      </w:r>
      <w:proofErr w:type="gramEnd"/>
      <w:r w:rsidRPr="007733CF">
        <w:rPr>
          <w:rFonts w:ascii="Arial" w:hAnsi="Arial" w:cs="Arial"/>
          <w:sz w:val="24"/>
          <w:szCs w:val="24"/>
        </w:rPr>
        <w:t xml:space="preserve"> de venetoclax, aceasta trebuie redusă cu 50% atunci când se utilizează concomitent cu inhibitori moderaţi ai CYP3A şi cu 75% dacă se utilizează concomitent cu inhibitori puternici ai CYP3A.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trebuie monitorizaţi mai atent pentru depistarea semnelor de toxicitate şi poate fi necesar ca doza </w:t>
      </w:r>
      <w:proofErr w:type="gramStart"/>
      <w:r w:rsidRPr="007733CF">
        <w:rPr>
          <w:rFonts w:ascii="Arial" w:hAnsi="Arial" w:cs="Arial"/>
          <w:sz w:val="24"/>
          <w:szCs w:val="24"/>
        </w:rPr>
        <w:t>să</w:t>
      </w:r>
      <w:proofErr w:type="gramEnd"/>
      <w:r w:rsidRPr="007733CF">
        <w:rPr>
          <w:rFonts w:ascii="Arial" w:hAnsi="Arial" w:cs="Arial"/>
          <w:sz w:val="24"/>
          <w:szCs w:val="24"/>
        </w:rPr>
        <w:t xml:space="preserve"> fie în continuare ajustată.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de venetoclax utilizată înainte de începerea utilizării inhibitorului CYP3A trebuie reluată la 2 până la 3 zile după întreruperea utilizării inhibitorului.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Omiterea unei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un pacient omite o doză de venetoclax şi au trecut mai puţin de 8 ore de la momentul în care aceasta trebuia administrată de obicei, pacientul trebuie să ia doza omisă cât mai curând posibil, în aceeaşi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pacientul </w:t>
      </w:r>
      <w:proofErr w:type="gramStart"/>
      <w:r w:rsidRPr="007733CF">
        <w:rPr>
          <w:rFonts w:ascii="Arial" w:hAnsi="Arial" w:cs="Arial"/>
          <w:sz w:val="24"/>
          <w:szCs w:val="24"/>
        </w:rPr>
        <w:t>a</w:t>
      </w:r>
      <w:proofErr w:type="gramEnd"/>
      <w:r w:rsidRPr="007733CF">
        <w:rPr>
          <w:rFonts w:ascii="Arial" w:hAnsi="Arial" w:cs="Arial"/>
          <w:sz w:val="24"/>
          <w:szCs w:val="24"/>
        </w:rPr>
        <w:t xml:space="preserve"> omis o doză şi au trecut mai mult de 8 ore, pacientul nu trebuie să ia doza omisă şi trebuie să reia administrarea dozelor conform schemei în ziua următoare.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pacientul prezintă vărsături după </w:t>
      </w:r>
      <w:proofErr w:type="gramStart"/>
      <w:r w:rsidRPr="007733CF">
        <w:rPr>
          <w:rFonts w:ascii="Arial" w:hAnsi="Arial" w:cs="Arial"/>
          <w:sz w:val="24"/>
          <w:szCs w:val="24"/>
        </w:rPr>
        <w:t>ce</w:t>
      </w:r>
      <w:proofErr w:type="gramEnd"/>
      <w:r w:rsidRPr="007733CF">
        <w:rPr>
          <w:rFonts w:ascii="Arial" w:hAnsi="Arial" w:cs="Arial"/>
          <w:sz w:val="24"/>
          <w:szCs w:val="24"/>
        </w:rPr>
        <w:t xml:space="preserve"> a luat doza, nu trebuie să ia o altă doză în ziua respectivă. Următoarea doză prescrisă trebuie luată conform programului în ziua următoare.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Durata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în monoterapie trebuie continuat până la progresia bolii sau până când nu mai </w:t>
      </w:r>
      <w:proofErr w:type="gramStart"/>
      <w:r w:rsidRPr="007733CF">
        <w:rPr>
          <w:rFonts w:ascii="Arial" w:hAnsi="Arial" w:cs="Arial"/>
          <w:sz w:val="24"/>
          <w:szCs w:val="24"/>
        </w:rPr>
        <w:t>este</w:t>
      </w:r>
      <w:proofErr w:type="gramEnd"/>
      <w:r w:rsidRPr="007733CF">
        <w:rPr>
          <w:rFonts w:ascii="Arial" w:hAnsi="Arial" w:cs="Arial"/>
          <w:sz w:val="24"/>
          <w:szCs w:val="24"/>
        </w:rPr>
        <w:t xml:space="preserve"> tolerat de către pacient. Pentru administrarea în combinaţie, durata tratamentului </w:t>
      </w:r>
      <w:proofErr w:type="gramStart"/>
      <w:r w:rsidRPr="007733CF">
        <w:rPr>
          <w:rFonts w:ascii="Arial" w:hAnsi="Arial" w:cs="Arial"/>
          <w:sz w:val="24"/>
          <w:szCs w:val="24"/>
        </w:rPr>
        <w:t>este</w:t>
      </w:r>
      <w:proofErr w:type="gramEnd"/>
      <w:r w:rsidRPr="007733CF">
        <w:rPr>
          <w:rFonts w:ascii="Arial" w:hAnsi="Arial" w:cs="Arial"/>
          <w:sz w:val="24"/>
          <w:szCs w:val="24"/>
        </w:rPr>
        <w:t xml:space="preserve"> de 24 de luni din ciclul 1 ziua 1 de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Reacţii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hematologice</w:t>
      </w:r>
      <w:proofErr w:type="gramEnd"/>
      <w:r w:rsidRPr="007733CF">
        <w:rPr>
          <w:rFonts w:ascii="Arial" w:hAnsi="Arial" w:cs="Arial"/>
          <w:sz w:val="24"/>
          <w:szCs w:val="24"/>
        </w:rPr>
        <w:t>: neutropenie, anemie;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infecţii</w:t>
      </w:r>
      <w:proofErr w:type="gramEnd"/>
      <w:r w:rsidRPr="007733CF">
        <w:rPr>
          <w:rFonts w:ascii="Arial" w:hAnsi="Arial" w:cs="Arial"/>
          <w:sz w:val="24"/>
          <w:szCs w:val="24"/>
        </w:rPr>
        <w:t>: infecţii ale căilor respiratorii superioare, pneumonie, infecţii ale căilor urinare;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metabolice: sindromul de liză tumorală, hiperfosfatemie, hiperpotasemie, hiperuricemie, hipocalcemie, creşterea creatininei;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gastro-intestinale: greaţă, vărsături, diaree, constipaţie;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generale: fatigabilitate.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Atenţionări şi precauţii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Insuficienţa renală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Nu </w:t>
      </w:r>
      <w:proofErr w:type="gramStart"/>
      <w:r w:rsidRPr="007733CF">
        <w:rPr>
          <w:rFonts w:ascii="Arial" w:hAnsi="Arial" w:cs="Arial"/>
          <w:sz w:val="24"/>
          <w:szCs w:val="24"/>
        </w:rPr>
        <w:t>este</w:t>
      </w:r>
      <w:proofErr w:type="gramEnd"/>
      <w:r w:rsidRPr="007733CF">
        <w:rPr>
          <w:rFonts w:ascii="Arial" w:hAnsi="Arial" w:cs="Arial"/>
          <w:sz w:val="24"/>
          <w:szCs w:val="24"/>
        </w:rPr>
        <w:t xml:space="preserve"> necesară ajustarea dozei la pacienţii cu insuficienţă renală uşoară sau moderată (ClCr &gt;/= 30 ml/min şi &lt;90 ml/min).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cu insuficienţă renală (ClCr &lt; 80 ml/min) pot fi necesare profilaxie şi monitorizare mai intense în vederea reducerii riscului de apariţie a SLT în perioada de iniţiere a tratamentului şi în timpul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Venetoclax poate fi administrat pacienţilor cu insuficienţă renală severă numai dacă beneficiul depăşeşte riscul şi aceşti pacienţi trebuie monitorizaţi atent pentru depistarea semnelor de toxicitate din cauza riscului crescut de apariţie a SLT.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Insuficienţa hepatică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Nu se recomandă nicio ajustare a dozei la pacienţii cu insuficienţă hepatică uşoară sau moderată, dar deoarece s-a observat o tendinţă de creştere a incidenţei reacţiilor adverse la pacienţii cu insuficienţă hepatică moderată, aceşti pacienţi trebuie monitorizaţi mai atent pentru depistarea semnelor de toxicitate în perioada de iniţiere a tratamentului şi în timpul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Nu se recomandă utilizarea venetoclax la pacienţii cu insuficienţă hepatică severă.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Neutropenie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trataţi cu venetoclax s-au raportat cazuri de neutropenie de grad 3 sau 4.</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Hemoleucograma completă trebuie monitorizată pe toată durata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Se recomandă întreruperea administrării sau reducerea dozelor la pacienţii cu neutropenie severă.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oricăror semne de infecţie, se </w:t>
      </w:r>
      <w:proofErr w:type="gramStart"/>
      <w:r w:rsidRPr="007733CF">
        <w:rPr>
          <w:rFonts w:ascii="Arial" w:hAnsi="Arial" w:cs="Arial"/>
          <w:sz w:val="24"/>
          <w:szCs w:val="24"/>
        </w:rPr>
        <w:t>va</w:t>
      </w:r>
      <w:proofErr w:type="gramEnd"/>
      <w:r w:rsidRPr="007733CF">
        <w:rPr>
          <w:rFonts w:ascii="Arial" w:hAnsi="Arial" w:cs="Arial"/>
          <w:sz w:val="24"/>
          <w:szCs w:val="24"/>
        </w:rPr>
        <w:t xml:space="preserve"> avea în vedere utilizarea măsurilor suportive, inclusiv terapiile antimicrobiene.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Imunizare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Vaccinurile vii nu trebuie administrate în timpul şi după tratamentul cu venetoclax până când nu sunt refăcute celulele 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Femeile aflate la vârsta fertilă/Contracepţia la femei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Femeile trebuie să evite să rămână gravide pe durata tratamentului cu venetoclax şi timp de cel puţin 30 de zile după oprirea tratamentului; de aceea, femeile aflate la vârsta fertilă trebuie să utilizeze metode contraceptive eficiente în timpul tratamentului cu venetoclax şi timp de 30 de zile după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prezent nu se cunoaşte dacă venetoclax reduce eficacitatea contraceptivelor hormonale şi de aceea femeile care utilizează contraceptive hormonale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adauge o metodă contraceptivă de tip barieră.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Sarcina şi alăptarea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Venetoclax nu </w:t>
      </w:r>
      <w:proofErr w:type="gramStart"/>
      <w:r w:rsidRPr="007733CF">
        <w:rPr>
          <w:rFonts w:ascii="Arial" w:hAnsi="Arial" w:cs="Arial"/>
          <w:sz w:val="24"/>
          <w:szCs w:val="24"/>
        </w:rPr>
        <w:t>este</w:t>
      </w:r>
      <w:proofErr w:type="gramEnd"/>
      <w:r w:rsidRPr="007733CF">
        <w:rPr>
          <w:rFonts w:ascii="Arial" w:hAnsi="Arial" w:cs="Arial"/>
          <w:sz w:val="24"/>
          <w:szCs w:val="24"/>
        </w:rPr>
        <w:t xml:space="preserve"> recomandat în timpul sarcinii.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Alăptarea trebuie întreruptă în timpul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Fertilitate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Înainte de începerea tratamentului, la unii pacienţi de sex masculin poate fi luată în considerare consilierea privind depozitarea spermei.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Prescriptori: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 Iniţierea şi continuarea tratamentului se fac de către medicii din specialitatea hematologie (sau, după caz, specialişti de oncologie medicală)."</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sz w:val="24"/>
          <w:szCs w:val="24"/>
        </w:rPr>
        <w:lastRenderedPageBreak/>
        <w:t xml:space="preserve"> </w:t>
      </w:r>
      <w:r w:rsidRPr="007733CF">
        <w:rPr>
          <w:rFonts w:ascii="Arial" w:hAnsi="Arial" w:cs="Arial"/>
          <w:b/>
          <w:bCs/>
          <w:sz w:val="24"/>
          <w:szCs w:val="24"/>
        </w:rPr>
        <w:t>7. După protocolul terapeutic corespunzător poziţiei nr. 268 se introduce protocolul terapeutic corespunzător poziţiei nr. 269 cod (A16AB09): DCI IDURSULFASUM, cu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IDURSULFASE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sz w:val="24"/>
          <w:szCs w:val="24"/>
        </w:rPr>
        <w:t xml:space="preserve">    </w:t>
      </w:r>
      <w:r w:rsidRPr="007733CF">
        <w:rPr>
          <w:rFonts w:ascii="Arial" w:hAnsi="Arial" w:cs="Arial"/>
          <w:b/>
          <w:bCs/>
          <w:sz w:val="24"/>
          <w:szCs w:val="24"/>
        </w:rPr>
        <w:t>I. Generalităţi</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Definiţie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Sindromul Hunter </w:t>
      </w:r>
      <w:proofErr w:type="gramStart"/>
      <w:r w:rsidRPr="007733CF">
        <w:rPr>
          <w:rFonts w:ascii="Arial" w:hAnsi="Arial" w:cs="Arial"/>
          <w:sz w:val="24"/>
          <w:szCs w:val="24"/>
        </w:rPr>
        <w:t>este</w:t>
      </w:r>
      <w:proofErr w:type="gramEnd"/>
      <w:r w:rsidRPr="007733CF">
        <w:rPr>
          <w:rFonts w:ascii="Arial" w:hAnsi="Arial" w:cs="Arial"/>
          <w:sz w:val="24"/>
          <w:szCs w:val="24"/>
        </w:rPr>
        <w:t xml:space="preserve"> determinat de deficienţa de Iduronat-2-sulfataza (I2S) care în mod normal clivează grupul sulfat de pe glicozaminoglicanii heparan şi dermatan sulfat. O scădere </w:t>
      </w:r>
      <w:proofErr w:type="gramStart"/>
      <w:r w:rsidRPr="007733CF">
        <w:rPr>
          <w:rFonts w:ascii="Arial" w:hAnsi="Arial" w:cs="Arial"/>
          <w:sz w:val="24"/>
          <w:szCs w:val="24"/>
        </w:rPr>
        <w:t>a</w:t>
      </w:r>
      <w:proofErr w:type="gramEnd"/>
      <w:r w:rsidRPr="007733CF">
        <w:rPr>
          <w:rFonts w:ascii="Arial" w:hAnsi="Arial" w:cs="Arial"/>
          <w:sz w:val="24"/>
          <w:szCs w:val="24"/>
        </w:rPr>
        <w:t xml:space="preserve"> iduronat-2-sulfatazei conduce la acumularea de glicozaminoglicani nedegradaţi în lizozomii diferitelor organe şi ţesuturi, inclusiv la nivelul sistemului nervos central. Acumularea depozitelor de glicozaminoglicani nedegradaţi conduce la alterarea structurii şi funcţiilor ţesuturilor şi celulelor, rezultând multiple disfuncţii de organe şi sisteme, producând </w:t>
      </w:r>
      <w:proofErr w:type="gramStart"/>
      <w:r w:rsidRPr="007733CF">
        <w:rPr>
          <w:rFonts w:ascii="Arial" w:hAnsi="Arial" w:cs="Arial"/>
          <w:sz w:val="24"/>
          <w:szCs w:val="24"/>
        </w:rPr>
        <w:t>un</w:t>
      </w:r>
      <w:proofErr w:type="gramEnd"/>
      <w:r w:rsidRPr="007733CF">
        <w:rPr>
          <w:rFonts w:ascii="Arial" w:hAnsi="Arial" w:cs="Arial"/>
          <w:sz w:val="24"/>
          <w:szCs w:val="24"/>
        </w:rPr>
        <w:t xml:space="preserve"> spectru larg de manifestări clinice cronice şi progresive.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Incidenţa estimată a sindromului Hunter este de 0,69 - 1,19 la 100.000 de nou-născuţi, este aproape exclusiv la populaţia masculină, deşi au fost raportate cazuri şi în rândul populaţiei feminine, manifestările clinice fiind la fel de severe. Gena I2S </w:t>
      </w:r>
      <w:proofErr w:type="gramStart"/>
      <w:r w:rsidRPr="007733CF">
        <w:rPr>
          <w:rFonts w:ascii="Arial" w:hAnsi="Arial" w:cs="Arial"/>
          <w:sz w:val="24"/>
          <w:szCs w:val="24"/>
        </w:rPr>
        <w:t>este</w:t>
      </w:r>
      <w:proofErr w:type="gramEnd"/>
      <w:r w:rsidRPr="007733CF">
        <w:rPr>
          <w:rFonts w:ascii="Arial" w:hAnsi="Arial" w:cs="Arial"/>
          <w:sz w:val="24"/>
          <w:szCs w:val="24"/>
        </w:rPr>
        <w:t xml:space="preserve"> localizată pe cromozomul X şi până acum au fost descrise mai mult de 300 de mutaţii ale acesteia.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Diagnosticul precoce </w:t>
      </w:r>
      <w:proofErr w:type="gramStart"/>
      <w:r w:rsidRPr="007733CF">
        <w:rPr>
          <w:rFonts w:ascii="Arial" w:hAnsi="Arial" w:cs="Arial"/>
          <w:sz w:val="24"/>
          <w:szCs w:val="24"/>
        </w:rPr>
        <w:t>este</w:t>
      </w:r>
      <w:proofErr w:type="gramEnd"/>
      <w:r w:rsidRPr="007733CF">
        <w:rPr>
          <w:rFonts w:ascii="Arial" w:hAnsi="Arial" w:cs="Arial"/>
          <w:sz w:val="24"/>
          <w:szCs w:val="24"/>
        </w:rPr>
        <w:t xml:space="preserve"> esenţial pentru creşterea şanselor de îmbunătăţire a condiţiei pacienţilor cu sindrom Hunter şi implică o combinaţie între diagnosticul clinic, biochimic şi molecular.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Diagnosticul clinic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În general medicul pediatru pune diagnosticul de sindrom Hunter ca urmare a manifestărilor apărute în primii ani de viaţă.</w:t>
      </w:r>
      <w:proofErr w:type="gramEnd"/>
      <w:r w:rsidRPr="007733CF">
        <w:rPr>
          <w:rFonts w:ascii="Arial" w:hAnsi="Arial" w:cs="Arial"/>
          <w:sz w:val="24"/>
          <w:szCs w:val="24"/>
        </w:rPr>
        <w:t xml:space="preserve"> </w:t>
      </w:r>
      <w:proofErr w:type="gramStart"/>
      <w:r w:rsidRPr="007733CF">
        <w:rPr>
          <w:rFonts w:ascii="Arial" w:hAnsi="Arial" w:cs="Arial"/>
          <w:sz w:val="24"/>
          <w:szCs w:val="24"/>
        </w:rPr>
        <w:t>Vârsta de prezentare la medicul pediatru poate varia în funcţie de simptomatologia copilului, care poate varia de la manifestări blânde şi discrete până la severe.</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De multe ori copiii cu sindrom Hunter sunt supuşi diferitelor intervenţii chirurgicale înainte de diagnostic şi de aceea </w:t>
      </w:r>
      <w:proofErr w:type="gramStart"/>
      <w:r w:rsidRPr="007733CF">
        <w:rPr>
          <w:rFonts w:ascii="Arial" w:hAnsi="Arial" w:cs="Arial"/>
          <w:sz w:val="24"/>
          <w:szCs w:val="24"/>
        </w:rPr>
        <w:t>un</w:t>
      </w:r>
      <w:proofErr w:type="gramEnd"/>
      <w:r w:rsidRPr="007733CF">
        <w:rPr>
          <w:rFonts w:ascii="Arial" w:hAnsi="Arial" w:cs="Arial"/>
          <w:sz w:val="24"/>
          <w:szCs w:val="24"/>
        </w:rPr>
        <w:t xml:space="preserve"> istoric chirurgical de hernie, timpanostomie, adenoidectomie, canal carpian poate ridica suspiciunea de sindrom Hunter.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În primele luni de viaţă simptomele sunt de tip respirator, la care destul de frecvent se asociază hernie ombilicală şi inghinală, statură mică, faţă aspră, macroglosie şi hiperplazie gingivală.</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Manifestări clinice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disfuncţii</w:t>
      </w:r>
      <w:proofErr w:type="gramEnd"/>
      <w:r w:rsidRPr="007733CF">
        <w:rPr>
          <w:rFonts w:ascii="Arial" w:hAnsi="Arial" w:cs="Arial"/>
          <w:sz w:val="24"/>
          <w:szCs w:val="24"/>
        </w:rPr>
        <w:t xml:space="preserve"> respiratorii superioare şi creşterea frecvenţei infecţiilor respiratorii superioare;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sindromul</w:t>
      </w:r>
      <w:proofErr w:type="gramEnd"/>
      <w:r w:rsidRPr="007733CF">
        <w:rPr>
          <w:rFonts w:ascii="Arial" w:hAnsi="Arial" w:cs="Arial"/>
          <w:sz w:val="24"/>
          <w:szCs w:val="24"/>
        </w:rPr>
        <w:t xml:space="preserve"> de apnee în somn este una din complicaţiile destul de comune;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interesarea structurilor osteoarticulare este o manifestare timpurie a sindromului Hunter şi este caracterizată prin disostoză multiplă, macrocefalie, structură anormală a vertebrelor L1 şi L2 cu apariţia cifozei, creşterea diametrului antero-posterior al toracelui şi subţierea diafizelor oaselor lungi, artropatie progresivă, sindrom de canal carpian;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w:t>
      </w:r>
      <w:proofErr w:type="gramStart"/>
      <w:r w:rsidRPr="007733CF">
        <w:rPr>
          <w:rFonts w:ascii="Arial" w:hAnsi="Arial" w:cs="Arial"/>
          <w:sz w:val="24"/>
          <w:szCs w:val="24"/>
        </w:rPr>
        <w:t>abdomen</w:t>
      </w:r>
      <w:proofErr w:type="gramEnd"/>
      <w:r w:rsidRPr="007733CF">
        <w:rPr>
          <w:rFonts w:ascii="Arial" w:hAnsi="Arial" w:cs="Arial"/>
          <w:sz w:val="24"/>
          <w:szCs w:val="24"/>
        </w:rPr>
        <w:t xml:space="preserve"> mărit ca urmare a hepatosplenomegaliei;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scăderea</w:t>
      </w:r>
      <w:proofErr w:type="gramEnd"/>
      <w:r w:rsidRPr="007733CF">
        <w:rPr>
          <w:rFonts w:ascii="Arial" w:hAnsi="Arial" w:cs="Arial"/>
          <w:sz w:val="24"/>
          <w:szCs w:val="24"/>
        </w:rPr>
        <w:t xml:space="preserve"> acuităţii auditive;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cardiomiopatie</w:t>
      </w:r>
      <w:proofErr w:type="gramEnd"/>
      <w:r w:rsidRPr="007733CF">
        <w:rPr>
          <w:rFonts w:ascii="Arial" w:hAnsi="Arial" w:cs="Arial"/>
          <w:sz w:val="24"/>
          <w:szCs w:val="24"/>
        </w:rPr>
        <w:t xml:space="preserve"> şi boală valvulară;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neurologic</w:t>
      </w:r>
      <w:proofErr w:type="gramEnd"/>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două</w:t>
      </w:r>
      <w:proofErr w:type="gramEnd"/>
      <w:r w:rsidRPr="007733CF">
        <w:rPr>
          <w:rFonts w:ascii="Arial" w:hAnsi="Arial" w:cs="Arial"/>
          <w:sz w:val="24"/>
          <w:szCs w:val="24"/>
        </w:rPr>
        <w:t xml:space="preserve"> treimi din pacienţi au retard psihomotor, tulburări comportamentale, regresie neurologică. </w:t>
      </w:r>
      <w:proofErr w:type="gramStart"/>
      <w:r w:rsidRPr="007733CF">
        <w:rPr>
          <w:rFonts w:ascii="Arial" w:hAnsi="Arial" w:cs="Arial"/>
          <w:sz w:val="24"/>
          <w:szCs w:val="24"/>
        </w:rPr>
        <w:t>În formele atenuate simptomatologia şi semnele clinice apar mai târziu cu disfuncţii neurologice minime.</w:t>
      </w:r>
      <w:proofErr w:type="gramEnd"/>
      <w:r w:rsidRPr="007733CF">
        <w:rPr>
          <w:rFonts w:ascii="Arial" w:hAnsi="Arial" w:cs="Arial"/>
          <w:sz w:val="24"/>
          <w:szCs w:val="24"/>
        </w:rPr>
        <w:t xml:space="preserve"> La această categorie de pacienţi dezvoltarea psihică şi cognitivă </w:t>
      </w:r>
      <w:proofErr w:type="gramStart"/>
      <w:r w:rsidRPr="007733CF">
        <w:rPr>
          <w:rFonts w:ascii="Arial" w:hAnsi="Arial" w:cs="Arial"/>
          <w:sz w:val="24"/>
          <w:szCs w:val="24"/>
        </w:rPr>
        <w:t>este</w:t>
      </w:r>
      <w:proofErr w:type="gramEnd"/>
      <w:r w:rsidRPr="007733CF">
        <w:rPr>
          <w:rFonts w:ascii="Arial" w:hAnsi="Arial" w:cs="Arial"/>
          <w:sz w:val="24"/>
          <w:szCs w:val="24"/>
        </w:rPr>
        <w:t xml:space="preserve"> normală, putând ajunge la vârsta adultă când pot să apară manifestări neurologice secundare ca urmare a stenozei cervicale, sindromului de canal carpian şi hidrocefaliei;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în</w:t>
      </w:r>
      <w:proofErr w:type="gramEnd"/>
      <w:r w:rsidRPr="007733CF">
        <w:rPr>
          <w:rFonts w:ascii="Arial" w:hAnsi="Arial" w:cs="Arial"/>
          <w:sz w:val="24"/>
          <w:szCs w:val="24"/>
        </w:rPr>
        <w:t xml:space="preserve"> formele severe manifestarea principală poate fi de natură psihică cu retard psihomotor ca urmare a depozitelor de glicozaminoglicani sau datorită altor mecanisme inflamatorii neurotoxice secundare.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roofErr w:type="gramStart"/>
      <w:r w:rsidRPr="007733CF">
        <w:rPr>
          <w:rFonts w:ascii="Arial" w:hAnsi="Arial" w:cs="Arial"/>
          <w:sz w:val="24"/>
          <w:szCs w:val="24"/>
        </w:rPr>
        <w:t>În cazurile severe decesul apare în prima sau a doua decadă a vieţii ca urmare a bolii respiratorii obstructive sau insuficienţei cardiace.</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Prevalenţa semnelor şi simptomatologia clinică a pacienţilor cu sindrom Hunter pot fi reprezentate în tabelul de mai </w:t>
      </w:r>
      <w:proofErr w:type="gramStart"/>
      <w:r w:rsidRPr="007733CF">
        <w:rPr>
          <w:rFonts w:ascii="Arial" w:hAnsi="Arial" w:cs="Arial"/>
          <w:sz w:val="24"/>
          <w:szCs w:val="24"/>
        </w:rPr>
        <w:t>jos</w:t>
      </w:r>
      <w:proofErr w:type="gramEnd"/>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Organ/</w:t>
      </w:r>
      <w:proofErr w:type="gramStart"/>
      <w:r w:rsidRPr="004F14A9">
        <w:rPr>
          <w:rFonts w:ascii="Courier New" w:hAnsi="Courier New" w:cs="Courier New"/>
          <w:sz w:val="20"/>
          <w:szCs w:val="20"/>
        </w:rPr>
        <w:t>Regiune  |</w:t>
      </w:r>
      <w:proofErr w:type="gramEnd"/>
      <w:r w:rsidRPr="004F14A9">
        <w:rPr>
          <w:rFonts w:ascii="Courier New" w:hAnsi="Courier New" w:cs="Courier New"/>
          <w:sz w:val="20"/>
          <w:szCs w:val="20"/>
        </w:rPr>
        <w:t xml:space="preserve">        Semne/                    | Prevalenţa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xml:space="preserve">|   </w:t>
      </w:r>
      <w:proofErr w:type="gramStart"/>
      <w:r w:rsidRPr="004F14A9">
        <w:rPr>
          <w:rFonts w:ascii="Courier New" w:hAnsi="Courier New" w:cs="Courier New"/>
          <w:sz w:val="20"/>
          <w:szCs w:val="20"/>
        </w:rPr>
        <w:t>anatomică</w:t>
      </w:r>
      <w:proofErr w:type="gramEnd"/>
      <w:r w:rsidRPr="004F14A9">
        <w:rPr>
          <w:rFonts w:ascii="Courier New" w:hAnsi="Courier New" w:cs="Courier New"/>
          <w:sz w:val="20"/>
          <w:szCs w:val="20"/>
        </w:rPr>
        <w:t xml:space="preserve">      |        Simptomatologie           |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Regiunea capului | Dismorfism facial, facies uscat, |      95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macrocefalie, hidrocefalie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ORL              | Macroglosie                      |      70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Otită medie                      |      72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Scăderea auzului                 |      67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Obstrucţie nazală                |      34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Creşterea tonsilelor/adenoide    |      68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Cardiovascular   | Murmur cardiac                   |      62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Boală valvulară                  |      57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Gastro-intestinal| Hernie abdominală                |      78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Hepatosplenomegalie              |      89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xml:space="preserve">| Osteoarticular   | Redoare articulară cu </w:t>
      </w:r>
      <w:proofErr w:type="gramStart"/>
      <w:r w:rsidRPr="004F14A9">
        <w:rPr>
          <w:rFonts w:ascii="Courier New" w:hAnsi="Courier New" w:cs="Courier New"/>
          <w:sz w:val="20"/>
          <w:szCs w:val="20"/>
        </w:rPr>
        <w:t>limitarea  |</w:t>
      </w:r>
      <w:proofErr w:type="gramEnd"/>
      <w:r w:rsidRPr="004F14A9">
        <w:rPr>
          <w:rFonts w:ascii="Courier New" w:hAnsi="Courier New" w:cs="Courier New"/>
          <w:sz w:val="20"/>
          <w:szCs w:val="20"/>
        </w:rPr>
        <w:t xml:space="preserve">      84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funcţională sau contractură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Cifoză/Scolioză                  |      39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Neurologic       | Hidrocefalie                     |      17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Convulsii                        |      18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Dificultăţi la înghiţire         |      27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lastRenderedPageBreak/>
        <w:t>|                  | Sindrom de canal carpian         |      25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Dificultăţi de efectuare a       |      33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manevrelor de fineţe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Hiperactivitate                  |      31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Tulburări cognitive              |      37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Tulburări comportamentale        |      36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Diagnosticul biochimic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majoritatea cazurilor, glicozaminoglicanii urinari sunt crescuţi, dar nu reprezintă </w:t>
      </w:r>
      <w:proofErr w:type="gramStart"/>
      <w:r w:rsidRPr="007733CF">
        <w:rPr>
          <w:rFonts w:ascii="Arial" w:hAnsi="Arial" w:cs="Arial"/>
          <w:sz w:val="24"/>
          <w:szCs w:val="24"/>
        </w:rPr>
        <w:t>un</w:t>
      </w:r>
      <w:proofErr w:type="gramEnd"/>
      <w:r w:rsidRPr="007733CF">
        <w:rPr>
          <w:rFonts w:ascii="Arial" w:hAnsi="Arial" w:cs="Arial"/>
          <w:sz w:val="24"/>
          <w:szCs w:val="24"/>
        </w:rPr>
        <w:t xml:space="preserve"> diagnostic de certitudine pentru sindromul Hunter, fiind necesare evaluări suplimentare. Testarea glicozaminoglicanilor urinari poate fi cantitativă, dar şi calitativă (prin electroforeză şi cromatografie) şi are dezavantajul unei lipse de specificitate cu multe rezultate fals-negative. </w:t>
      </w:r>
      <w:proofErr w:type="gramStart"/>
      <w:r w:rsidRPr="007733CF">
        <w:rPr>
          <w:rFonts w:ascii="Arial" w:hAnsi="Arial" w:cs="Arial"/>
          <w:sz w:val="24"/>
          <w:szCs w:val="24"/>
        </w:rPr>
        <w:t>Documentarea creşterii glicozaminoglicanilor urinari, în special a dermatanului şi heparanului, orientează medicul către testarea enzimatică sanguină care pune diagnosticul definitiv de sindrom Hunter prin obiectivarea deficienţei iduronat-2-sulfatazei.</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Diagnosticul molecular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Deşi nu este necesar pentru stabilirea diagnosticului definitiv de sindrom Hunter, testarea genei I2S poate fi utilă în cazurile-limită sau în special pentru cuplurile fertile care solicită consiliere genetică sau testare prenatală, dar au fost descrise mai mult de 300 de mutaţii ale genei.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pacienţilor cu sindrom Hunter se face cu idursulfase care este o formă purificată a enzimei lizozomale iduronat-2-sulfatază, obţinută dintr-o linie de celule umane, şi care este analog al enzimei produse pe cale naturală.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pacienţi</w:t>
      </w:r>
      <w:proofErr w:type="gramEnd"/>
      <w:r w:rsidRPr="007733CF">
        <w:rPr>
          <w:rFonts w:ascii="Arial" w:hAnsi="Arial" w:cs="Arial"/>
          <w:sz w:val="24"/>
          <w:szCs w:val="24"/>
        </w:rPr>
        <w:t xml:space="preserve"> de sex masculin, dar şi feminin cu diagnostic de certitudine de sindrom Hunter. Deşi toate ghidurile terapeutice recomandă utilizarea idursulfazei la copii cu vârste mai </w:t>
      </w:r>
      <w:proofErr w:type="gramStart"/>
      <w:r w:rsidRPr="007733CF">
        <w:rPr>
          <w:rFonts w:ascii="Arial" w:hAnsi="Arial" w:cs="Arial"/>
          <w:sz w:val="24"/>
          <w:szCs w:val="24"/>
        </w:rPr>
        <w:t>mari</w:t>
      </w:r>
      <w:proofErr w:type="gramEnd"/>
      <w:r w:rsidRPr="007733CF">
        <w:rPr>
          <w:rFonts w:ascii="Arial" w:hAnsi="Arial" w:cs="Arial"/>
          <w:sz w:val="24"/>
          <w:szCs w:val="24"/>
        </w:rPr>
        <w:t xml:space="preserve"> de 5 ani, studii clinice recente arată că se poate administra şi la copii cu vârste mai mici, rezultatele demonstrând un profil de siguranţă şi un raport beneficiu-risc similar cu al pacienţilor peste 5 ani.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Contraindicaţii absolute: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hipersensibilitatea</w:t>
      </w:r>
      <w:proofErr w:type="gramEnd"/>
      <w:r w:rsidRPr="007733CF">
        <w:rPr>
          <w:rFonts w:ascii="Arial" w:hAnsi="Arial" w:cs="Arial"/>
          <w:sz w:val="24"/>
          <w:szCs w:val="24"/>
        </w:rPr>
        <w:t xml:space="preserve"> la substanţa activă sau la oricare dintre excipienţi, dacă hipersensibilitatea nu este controlată;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istoric</w:t>
      </w:r>
      <w:proofErr w:type="gramEnd"/>
      <w:r w:rsidRPr="007733CF">
        <w:rPr>
          <w:rFonts w:ascii="Arial" w:hAnsi="Arial" w:cs="Arial"/>
          <w:sz w:val="24"/>
          <w:szCs w:val="24"/>
        </w:rPr>
        <w:t xml:space="preserve"> de reacţii anafilactice/anafilactoide.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Contraindicaţii relative - administrarea se face după stabilizare şi control: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ale sistemului nervos - cefalee, ameţeală, tremor;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cardiace - aritmie, tahicardie;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cardiace - hiper- sau hipotensiune arterială;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respiratorii - dispnee, brohospasm, hipoxie, afecţiuni respiratorii ale căilor aeriene inferioare;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gastrointestinale - dureri abdominale severe, vărsături;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tulburări</w:t>
      </w:r>
      <w:proofErr w:type="gramEnd"/>
      <w:r w:rsidRPr="007733CF">
        <w:rPr>
          <w:rFonts w:ascii="Arial" w:hAnsi="Arial" w:cs="Arial"/>
          <w:sz w:val="24"/>
          <w:szCs w:val="24"/>
        </w:rPr>
        <w:t xml:space="preserve"> cutanate - erupţii cutanate extinse, eritem cutanat extins.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Atenţionări speciale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unii pacienţi au fost observate reacţii anafilactice care pot pune viaţa în pericol şi după câţiva ani de la iniţierea tratamentului. </w:t>
      </w:r>
      <w:proofErr w:type="gramStart"/>
      <w:r w:rsidRPr="007733CF">
        <w:rPr>
          <w:rFonts w:ascii="Arial" w:hAnsi="Arial" w:cs="Arial"/>
          <w:sz w:val="24"/>
          <w:szCs w:val="24"/>
        </w:rPr>
        <w:t>Reacţii anafilactice tardive au fost observate şi până la 24 de ore de la reacţia iniţială.</w:t>
      </w:r>
      <w:proofErr w:type="gramEnd"/>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Idursulfaza se administrează în doze de 0,5 mg/kg la intervale de o săptămână, sub formă de perfuzie intravenoasă timp de 3 ore, durată care poate fi redusă treptat la 1 oră în cazul în care nu s-au observat reacţii adverse asociate perfuziei. Se poate avea în vedere administrarea la domiciliu a perfuziei cu elaprase în cazul pacienţilor care au fost trataţi timp de mai multe luni în spital şi care au o bună toleranţă la perfuzie. Administrarea perfuziei la domiciliu trebuie </w:t>
      </w:r>
      <w:proofErr w:type="gramStart"/>
      <w:r w:rsidRPr="007733CF">
        <w:rPr>
          <w:rFonts w:ascii="Arial" w:hAnsi="Arial" w:cs="Arial"/>
          <w:sz w:val="24"/>
          <w:szCs w:val="24"/>
        </w:rPr>
        <w:t>să</w:t>
      </w:r>
      <w:proofErr w:type="gramEnd"/>
      <w:r w:rsidRPr="007733CF">
        <w:rPr>
          <w:rFonts w:ascii="Arial" w:hAnsi="Arial" w:cs="Arial"/>
          <w:sz w:val="24"/>
          <w:szCs w:val="24"/>
        </w:rPr>
        <w:t xml:space="preserve"> se facă sub supravegherea unui medic sau a unui cadru medical.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pacienţii sub tratament cu idursulfază standardul de monitorizare îl reprezintă nivelul glicozaminoglicanilor urinari care arată răspunsul terapeutic.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Monitorizarea clinică se efectuează în mod regulat de către medic conform tabelului de mai </w:t>
      </w:r>
      <w:proofErr w:type="gramStart"/>
      <w:r w:rsidRPr="007733CF">
        <w:rPr>
          <w:rFonts w:ascii="Arial" w:hAnsi="Arial" w:cs="Arial"/>
          <w:sz w:val="24"/>
          <w:szCs w:val="24"/>
        </w:rPr>
        <w:t>jos</w:t>
      </w:r>
      <w:proofErr w:type="gramEnd"/>
      <w:r w:rsidRPr="007733CF">
        <w:rPr>
          <w:rFonts w:ascii="Arial" w:hAnsi="Arial" w:cs="Arial"/>
          <w:sz w:val="24"/>
          <w:szCs w:val="24"/>
        </w:rPr>
        <w:t>:</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7733CF">
        <w:rPr>
          <w:rFonts w:ascii="Arial" w:hAnsi="Arial" w:cs="Arial"/>
          <w:sz w:val="24"/>
          <w:szCs w:val="24"/>
        </w:rPr>
        <w:t xml:space="preserve"> </w:t>
      </w:r>
      <w:r w:rsidRPr="00D51217">
        <w:rPr>
          <w:rFonts w:ascii="Courier New" w:hAnsi="Courier New" w:cs="Courier New"/>
          <w:sz w:val="20"/>
          <w:szCs w:val="20"/>
        </w:rPr>
        <w:t>___________________________________________________________________________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               Evaluare                    | Recomandare|</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xml:space="preserve">| Istoric </w:t>
      </w:r>
      <w:proofErr w:type="gramStart"/>
      <w:r w:rsidRPr="00D51217">
        <w:rPr>
          <w:rFonts w:ascii="Courier New" w:hAnsi="Courier New" w:cs="Courier New"/>
          <w:sz w:val="20"/>
          <w:szCs w:val="20"/>
        </w:rPr>
        <w:t>medical  |</w:t>
      </w:r>
      <w:proofErr w:type="gramEnd"/>
      <w:r w:rsidRPr="00D51217">
        <w:rPr>
          <w:rFonts w:ascii="Courier New" w:hAnsi="Courier New" w:cs="Courier New"/>
          <w:sz w:val="20"/>
          <w:szCs w:val="20"/>
        </w:rPr>
        <w:t xml:space="preserve"> Evaluare clinică şi evaluarea dezvoltării |   Bianual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xml:space="preserve">| Examinare fizică | Evaluare clinică, măsurarea greutăţii,    |   </w:t>
      </w:r>
      <w:proofErr w:type="gramStart"/>
      <w:r w:rsidRPr="00D51217">
        <w:rPr>
          <w:rFonts w:ascii="Courier New" w:hAnsi="Courier New" w:cs="Courier New"/>
          <w:sz w:val="20"/>
          <w:szCs w:val="20"/>
        </w:rPr>
        <w:t>Bianual  |</w:t>
      </w:r>
      <w:proofErr w:type="gramEnd"/>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 înălţimii, tensiunii arteriale,           |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 circumferinţa craniului                   |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Neurologic       | Evaluare cognitivă                        |   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Cardiovascular   | Ecocardiogramă, EKG                       |   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Musculoscheletal | Evaluarea osteoarticulară                 |   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 Criterii de întrerupere temporară sau totală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formă</w:t>
      </w:r>
      <w:proofErr w:type="gramEnd"/>
      <w:r w:rsidRPr="007733CF">
        <w:rPr>
          <w:rFonts w:ascii="Arial" w:hAnsi="Arial" w:cs="Arial"/>
          <w:sz w:val="24"/>
          <w:szCs w:val="24"/>
        </w:rPr>
        <w:t xml:space="preserve"> severă sau avansată la care nu se observă nicio eficacitate terapeutică;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după</w:t>
      </w:r>
      <w:proofErr w:type="gramEnd"/>
      <w:r w:rsidRPr="007733CF">
        <w:rPr>
          <w:rFonts w:ascii="Arial" w:hAnsi="Arial" w:cs="Arial"/>
          <w:sz w:val="24"/>
          <w:szCs w:val="24"/>
        </w:rPr>
        <w:t xml:space="preserve"> 6 - 12 luni de administrare fără documentarea vreunui beneficiu terapeutic evident;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exacerbarea</w:t>
      </w:r>
      <w:proofErr w:type="gramEnd"/>
      <w:r w:rsidRPr="007733CF">
        <w:rPr>
          <w:rFonts w:ascii="Arial" w:hAnsi="Arial" w:cs="Arial"/>
          <w:sz w:val="24"/>
          <w:szCs w:val="24"/>
        </w:rPr>
        <w:t xml:space="preserve"> tulburărilor comportamentale ca urmare a administrării idursulfazei;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declin</w:t>
      </w:r>
      <w:proofErr w:type="gramEnd"/>
      <w:r w:rsidRPr="007733CF">
        <w:rPr>
          <w:rFonts w:ascii="Arial" w:hAnsi="Arial" w:cs="Arial"/>
          <w:sz w:val="24"/>
          <w:szCs w:val="24"/>
        </w:rPr>
        <w:t xml:space="preserve"> neurologic progresiv;</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reacţii</w:t>
      </w:r>
      <w:proofErr w:type="gramEnd"/>
      <w:r w:rsidRPr="007733CF">
        <w:rPr>
          <w:rFonts w:ascii="Arial" w:hAnsi="Arial" w:cs="Arial"/>
          <w:sz w:val="24"/>
          <w:szCs w:val="24"/>
        </w:rPr>
        <w:t xml:space="preserve"> adverse grave legate de administrarea idursulfazei;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comorbidităţi</w:t>
      </w:r>
      <w:proofErr w:type="gramEnd"/>
      <w:r w:rsidRPr="007733CF">
        <w:rPr>
          <w:rFonts w:ascii="Arial" w:hAnsi="Arial" w:cs="Arial"/>
          <w:sz w:val="24"/>
          <w:szCs w:val="24"/>
        </w:rPr>
        <w:t xml:space="preserve"> ameninţătoare de viaţă;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w:t>
      </w:r>
      <w:proofErr w:type="gramStart"/>
      <w:r w:rsidRPr="007733CF">
        <w:rPr>
          <w:rFonts w:ascii="Arial" w:hAnsi="Arial" w:cs="Arial"/>
          <w:sz w:val="24"/>
          <w:szCs w:val="24"/>
        </w:rPr>
        <w:t>sarcină</w:t>
      </w:r>
      <w:proofErr w:type="gramEnd"/>
      <w:r w:rsidRPr="007733CF">
        <w:rPr>
          <w:rFonts w:ascii="Arial" w:hAnsi="Arial" w:cs="Arial"/>
          <w:sz w:val="24"/>
          <w:szCs w:val="24"/>
        </w:rPr>
        <w:t>;</w:t>
      </w:r>
      <w:bookmarkStart w:id="0" w:name="_GoBack"/>
      <w:bookmarkEnd w:id="0"/>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proofErr w:type="gramStart"/>
      <w:r w:rsidRPr="007733CF">
        <w:rPr>
          <w:rFonts w:ascii="Arial" w:hAnsi="Arial" w:cs="Arial"/>
          <w:sz w:val="24"/>
          <w:szCs w:val="24"/>
        </w:rPr>
        <w:t>alăptare</w:t>
      </w:r>
      <w:proofErr w:type="gramEnd"/>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VIII. Prescriptori: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Iniţierea, continuarea şi monitorizarea tratamentului se vor face de către medicii din specialităţile: pediatrie, gastroenterologie, hematologie.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NOTĂ: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Monitorizarea copiilor şi adulţilor cu sindrom Hunter se face semestrial de medicul curant al pacientului şi cel puţin o dată pe an în Centrul Regional de Genetică Medicală din Cluj pentru copii şi în Spitalul Clinic Judeţean de Urgenţă - Clinica Medicală II - din Cluj, pentru adulţi."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C77455" w:rsidRPr="007733CF" w:rsidRDefault="007733CF" w:rsidP="007733CF">
      <w:pPr>
        <w:jc w:val="both"/>
        <w:rPr>
          <w:rFonts w:ascii="Arial" w:hAnsi="Arial" w:cs="Arial"/>
          <w:sz w:val="24"/>
          <w:szCs w:val="24"/>
        </w:rPr>
      </w:pPr>
      <w:r w:rsidRPr="007733CF">
        <w:rPr>
          <w:rFonts w:ascii="Arial" w:hAnsi="Arial" w:cs="Arial"/>
          <w:sz w:val="24"/>
          <w:szCs w:val="24"/>
        </w:rPr>
        <w:t xml:space="preserve">                              ---------------</w:t>
      </w:r>
    </w:p>
    <w:sectPr w:rsidR="00C77455" w:rsidRPr="007733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6C" w:rsidRDefault="00DF056C" w:rsidP="007733CF">
      <w:pPr>
        <w:spacing w:after="0" w:line="240" w:lineRule="auto"/>
      </w:pPr>
      <w:r>
        <w:separator/>
      </w:r>
    </w:p>
  </w:endnote>
  <w:endnote w:type="continuationSeparator" w:id="0">
    <w:p w:rsidR="00DF056C" w:rsidRDefault="00DF056C" w:rsidP="0077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11495"/>
      <w:docPartObj>
        <w:docPartGallery w:val="Page Numbers (Bottom of Page)"/>
        <w:docPartUnique/>
      </w:docPartObj>
    </w:sdtPr>
    <w:sdtEndPr>
      <w:rPr>
        <w:noProof/>
      </w:rPr>
    </w:sdtEndPr>
    <w:sdtContent>
      <w:p w:rsidR="007733CF" w:rsidRDefault="007733CF">
        <w:pPr>
          <w:pStyle w:val="Footer"/>
          <w:jc w:val="right"/>
        </w:pPr>
        <w:r>
          <w:fldChar w:fldCharType="begin"/>
        </w:r>
        <w:r>
          <w:instrText xml:space="preserve"> PAGE   \* MERGEFORMAT </w:instrText>
        </w:r>
        <w:r>
          <w:fldChar w:fldCharType="separate"/>
        </w:r>
        <w:r w:rsidR="00D51217">
          <w:rPr>
            <w:noProof/>
          </w:rPr>
          <w:t>3</w:t>
        </w:r>
        <w:r>
          <w:rPr>
            <w:noProof/>
          </w:rPr>
          <w:fldChar w:fldCharType="end"/>
        </w:r>
      </w:p>
    </w:sdtContent>
  </w:sdt>
  <w:p w:rsidR="007733CF" w:rsidRDefault="00773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6C" w:rsidRDefault="00DF056C" w:rsidP="007733CF">
      <w:pPr>
        <w:spacing w:after="0" w:line="240" w:lineRule="auto"/>
      </w:pPr>
      <w:r>
        <w:separator/>
      </w:r>
    </w:p>
  </w:footnote>
  <w:footnote w:type="continuationSeparator" w:id="0">
    <w:p w:rsidR="00DF056C" w:rsidRDefault="00DF056C" w:rsidP="00773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CF"/>
    <w:rsid w:val="002C01EA"/>
    <w:rsid w:val="00451C4D"/>
    <w:rsid w:val="004F14A9"/>
    <w:rsid w:val="00637AC8"/>
    <w:rsid w:val="00751425"/>
    <w:rsid w:val="00760AD4"/>
    <w:rsid w:val="007733CF"/>
    <w:rsid w:val="007B0652"/>
    <w:rsid w:val="007B1192"/>
    <w:rsid w:val="007C6DD0"/>
    <w:rsid w:val="008A08C6"/>
    <w:rsid w:val="00947077"/>
    <w:rsid w:val="0095354D"/>
    <w:rsid w:val="00D51217"/>
    <w:rsid w:val="00DF056C"/>
    <w:rsid w:val="00EB0507"/>
    <w:rsid w:val="00F0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CF"/>
  </w:style>
  <w:style w:type="paragraph" w:styleId="Footer">
    <w:name w:val="footer"/>
    <w:basedOn w:val="Normal"/>
    <w:link w:val="FooterChar"/>
    <w:uiPriority w:val="99"/>
    <w:unhideWhenUsed/>
    <w:rsid w:val="0077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CF"/>
  </w:style>
  <w:style w:type="paragraph" w:styleId="Footer">
    <w:name w:val="footer"/>
    <w:basedOn w:val="Normal"/>
    <w:link w:val="FooterChar"/>
    <w:uiPriority w:val="99"/>
    <w:unhideWhenUsed/>
    <w:rsid w:val="0077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9736</Words>
  <Characters>55498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5</cp:revision>
  <dcterms:created xsi:type="dcterms:W3CDTF">2019-07-25T07:18:00Z</dcterms:created>
  <dcterms:modified xsi:type="dcterms:W3CDTF">2019-07-25T07:39:00Z</dcterms:modified>
</cp:coreProperties>
</file>